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233B"/>
          <w:sz w:val="30"/>
          <w:szCs w:val="30"/>
        </w:rPr>
        <w:t xml:space="preserve">Synopsis: VerpackG, VerpackDG and PPWR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5C6672"/>
          <w:sz w:val="18"/>
          <w:szCs w:val="18"/>
        </w:rPr>
        <w:t xml:space="preserve">Mapping of the key provisions of the German Packaging Act (version until 11 August 2026) to their successors in the German Packaging Act Implementation Act (Article 1 of the Act of 13 July 2026, BGBl. 2026 I No. 207) and to the Articles of Regulation (EU) 2025/40, with status and deadlines. As at September 2026.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200"/>
        <w:gridCol w:w="2400"/>
        <w:gridCol w:w="1900"/>
        <w:gridCol w:w="1400"/>
        <w:gridCol w:w="4370"/>
      </w:tblGrid>
      <w:tr>
        <w:trPr>
          <w:tblHeader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F0FA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/>
                <w:bCs/>
                <w:color w:val="15233B"/>
                <w:sz w:val="17"/>
                <w:szCs w:val="17"/>
              </w:rPr>
              <w:t xml:space="preserve">Topic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F0FA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/>
                <w:bCs/>
                <w:color w:val="15233B"/>
                <w:sz w:val="17"/>
                <w:szCs w:val="17"/>
              </w:rPr>
              <w:t xml:space="preserve">VerpackG (until 11 August 2026)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F0FA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/>
                <w:bCs/>
                <w:color w:val="15233B"/>
                <w:sz w:val="17"/>
                <w:szCs w:val="17"/>
              </w:rPr>
              <w:t xml:space="preserve">VerpackDG (from 12 August 2026)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F0FA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/>
                <w:bCs/>
                <w:color w:val="15233B"/>
                <w:sz w:val="17"/>
                <w:szCs w:val="17"/>
              </w:rPr>
              <w:t xml:space="preserve">Regulation (EU) 2025/40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F0FA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/>
                <w:bCs/>
                <w:color w:val="15233B"/>
                <w:sz w:val="17"/>
                <w:szCs w:val="17"/>
              </w:rPr>
              <w:t xml:space="preserve">Status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F0FA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/>
                <w:bCs/>
                <w:color w:val="15233B"/>
                <w:sz w:val="17"/>
                <w:szCs w:val="17"/>
              </w:rPr>
              <w:t xml:space="preserve">Deadline, note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Definition of producer (EPR)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Section 3(14): first to place filled packaging on the market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Section 3 supplementary; refers to Regulation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3(1)(15)(a) to (e)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Amended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Domestic priority: private labels and imports at retail, cross-border B2B at the recipient (ZSVR, no transition period)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Definition of manufacturer (conformity)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not present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Section 3 supplementary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3(1)(13), Art. 21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New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Responsible for assessment, documentation, declaration of conformity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Packaging subject to dual system participation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Section 3(8): sales and grouped packaging, typically private end consumers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Section 3(6): also transport and primary production packaging, whole market for same-type packaging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45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Amended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Shipment packaging to end users subject to system participation without exception (ZSVR)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Registration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9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6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44, Annex IX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Essentially unchanged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Existing registrations remain valid; changes by 12 November 2026; newly obliged by 12 September 2026 (Section 68(2))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Authorised representative, EPR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not present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Section 5(2) to (5)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45(3)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New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Mandatory for producers without an establishment in Germany; only one; mandate in German; name on registration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Engaging third parties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35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Section 5(1)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45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Unchanged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Registration and data reporting cannot be delegated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Participation in a dual system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7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7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45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Essentially unchanged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Before making available or unpacking; shift upstream for service packaging remains (Section 7(2)); old participations until 31 December 2026 (Section 68(1))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Industry solutions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8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8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45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Essentially unchanged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Without approval under Section 22 until 31 October 2027 (Section 68(6), (7))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Data reporting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10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9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44(7)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Amended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Under 10 t prior-year volume, only annually by 1 June (Section 9(2))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Declaration of completeness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11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10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44(7)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Essentially unchanged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Thresholds 80 t glass, 50 t paper/board, 30 t others; by 15 May; for 2026 only Section 10 (Section 68(5))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Exemptions from system participation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12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11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45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Unchanged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Reusables in systems, deposit packaging, hazardous fillings, not to domestic end users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Bans on making available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Section 7(1) sent. 1, Section 9(5)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13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44(4), Art. 45(4)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Recast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Also for distributors, fulfilment service providers and online platforms; automated ZSVR data matching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Substance restrictions, heavy metals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5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Sections 14 to 18 (exemptions plastic crates, pallets, glass)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5(4)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Absorbed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Exemptions lapse once the Commission repeals Decisions 1999/177/EC and 2001/171/EC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PFAS in food contact packaging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not present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not regulated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5(5)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New (EU)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Since 12 August 2026, no transition period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Material labelling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6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Section 4, Annex 2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12, Art. 70(2)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Absorbed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Voluntary until 12 August 2028, then harmonised labelling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Approval of producers without system participation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not present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19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47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New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Mandatory from 1 January 2028 (Section 68(9)); or other organisation under Section 22; ZSVR systems from autumn 2027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Approval of systems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Section 18 (authorisation)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§§ 20, 21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46, 47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Amended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Authorised systems count as approved, evidence by 1 January 2027 (Section 68(11))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Other producer responsibility organisations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not present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22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46, 47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New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Without approval until 31 October 2027 (Section 68(12))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Take-back of packaging outside system participation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15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39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45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Essentially unchanged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At the handover point, free of charge; documentation by 15 May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Min. recycled content, single-use drinks bottles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30a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45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7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Unchanged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PET 25 %; all plastic bottles 30 % from 1 January 2030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Deposit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31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46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50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Unchanged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At least 0.25 euro; labelling as subject to deposit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Notice duties single-use/reusable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32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47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national addition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Unchanged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SINGLE-USE / REUSABLE at point of sale and distance sales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Reusable alternative for takeaway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§§ 33, 34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§§ 60, 61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32, 33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Essentially unchanged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From 12 February 2027 also Art. 32 (own containers), from 12 February 2028 Art. 33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Conformity assessment and declaration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not present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Section 62 (language), Sections 63 to 65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15, 38, 39, Annexes VII, VIII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New (EU)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Declaration in German or English as chosen, German translation on request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Fines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§ 36</w:t>
            </w:r>
          </w:p>
        </w:tc>
        <w:tc>
          <w:tcPr>
            <w:tcW w:type="dxa" w:w="2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Section 66(1) (national), (2) (Regulation)</w:t>
            </w:r>
          </w:p>
        </w:tc>
        <w:tc>
          <w:tcPr>
            <w:tcW w:type="dxa" w:w="1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Art. 68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Amended</w:t>
            </w:r>
          </w:p>
        </w:tc>
        <w:tc>
          <w:tcPr>
            <w:tcW w:type="dxa" w:w="437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4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5233B"/>
                <w:sz w:val="17"/>
                <w:szCs w:val="17"/>
              </w:rPr>
              <w:t xml:space="preserve">Up to 200,000 / 100,000 / 10,000 euro depending on offence (Section 66(3))</w:t>
            </w:r>
          </w:p>
        </w:tc>
      </w:tr>
    </w:tbl>
    <w:sectPr>
      <w:headerReference w:type="default" r:id="rId7"/>
      <w:footerReference w:type="default" r:id="rId8"/>
      <w:pgSz w:w="16838" w:h="11906" w:orient="landscape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1DC" w:sz="4" w:space="4"/>
      </w:pBdr>
      <w:tabs>
        <w:tab w:val="right" w:pos="14570"/>
      </w:tabs>
    </w:pPr>
    <w:r>
      <w:rPr>
        <w:rFonts w:ascii="Arial" w:cs="Arial" w:eastAsia="Arial" w:hAnsi="Arial"/>
        <w:color w:val="5C6672"/>
        <w:sz w:val="14"/>
        <w:szCs w:val="14"/>
      </w:rPr>
      <w:t xml:space="preserve">Synopsis provided by HRG Polygon One GmbH, polygon-one.com. As at September 2026. Not legal advice. VerpackG sections as in force until 11 August 2026.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5C6672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D1DC" w:sz="4" w:space="4"/>
      </w:pBdr>
      <w:tabs>
        <w:tab w:val="right" w:pos="14570"/>
      </w:tabs>
      <w:spacing w:after="120"/>
    </w:pPr>
    <w:r>
      <w:rPr>
        <w:rFonts w:ascii="Arial" w:cs="Arial" w:eastAsia="Arial" w:hAnsi="Arial"/>
        <w:color w:val="5C6672"/>
        <w:sz w:val="16"/>
        <w:szCs w:val="16"/>
      </w:rPr>
      <w:t xml:space="preserve">Synopsis: German Packaging Act, German Packaging Act Implementation Act and Regulation (EU) 2025/40</w:t>
    </w:r>
    <w:r>
      <w:rPr>
        <w:rFonts w:ascii="Arial" w:cs="Arial" w:eastAsia="Arial" w:hAnsi="Arial"/>
      </w:rPr>
      <w:t xml:space="preserve">	</w:t>
    </w:r>
    <w:r>
      <w:drawing>
        <wp:inline distT="0" distB="0" distL="0" distR="0">
          <wp:extent cx="914400" cy="128588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1285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233B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f7aa91b198ce0b46bce71dd75501b101bd0952c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Synopsis: VerpackG, VerpackDG and PPWR</dc:title>
  <dc:creator>HRG Polygon One GmbH</dc:creator>
  <cp:lastModifiedBy>Un-named</cp:lastModifiedBy>
  <cp:revision>1</cp:revision>
  <dcterms:created xsi:type="dcterms:W3CDTF">2026-09-08T15:16:50.417Z</dcterms:created>
  <dcterms:modified xsi:type="dcterms:W3CDTF">2026-09-08T15:16:50.430Z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