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5233B"/>
          <w:sz w:val="30"/>
          <w:szCs w:val="30"/>
        </w:rPr>
        <w:t xml:space="preserve">Synopse: VerpackG, VerpackDG und PPWR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C6672"/>
          <w:sz w:val="18"/>
          <w:szCs w:val="18"/>
        </w:rPr>
        <w:t xml:space="preserve">Zuordnung der wichtigsten Vorschriften des Verpackungsgesetzes (Fassung bis 11.08.2026) zu ihren Nachfolgern im Verpackungsrecht-Durchführungsgesetz (Artikel 1 des Gesetzes vom 13.07.2026, BGBl. 2026 I Nr. 207) und zu den Artikeln der Verordnung (EU) 2025/40, mit Status und Fristen. Stand September 2026.</w:t>
      </w:r>
    </w:p>
    <w:tbl>
      <w:tblPr>
        <w:tblW w:type="dxa" w:w="145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200"/>
        <w:gridCol w:w="2400"/>
        <w:gridCol w:w="1900"/>
        <w:gridCol w:w="1400"/>
        <w:gridCol w:w="4370"/>
      </w:tblGrid>
      <w:tr>
        <w:trPr>
          <w:tblHeader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15233B"/>
                <w:sz w:val="17"/>
                <w:szCs w:val="17"/>
              </w:rPr>
              <w:t xml:space="preserve">Thema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15233B"/>
                <w:sz w:val="17"/>
                <w:szCs w:val="17"/>
              </w:rPr>
              <w:t xml:space="preserve">VerpackG (bis 11.08.2026)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15233B"/>
                <w:sz w:val="17"/>
                <w:szCs w:val="17"/>
              </w:rPr>
              <w:t xml:space="preserve">VerpackDG (seit 12.08.2026)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15233B"/>
                <w:sz w:val="17"/>
                <w:szCs w:val="17"/>
              </w:rPr>
              <w:t xml:space="preserve">VO (EU) 2025/40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15233B"/>
                <w:sz w:val="17"/>
                <w:szCs w:val="17"/>
              </w:rPr>
              <w:t xml:space="preserve">Status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shd w:fill="E9F0FA" w:color="auto" w:val="clear"/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15233B"/>
                <w:sz w:val="17"/>
                <w:szCs w:val="17"/>
              </w:rPr>
              <w:t xml:space="preserve">Frist, Hinweis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Begriff des Herstellers (EPR)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 Abs. 14: Erstinverkehrbringer befüllter Verpackungen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 ergänzend; Verweis auf die Verordnung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3 Abs. 1 Nr. 15 Buchst. a bis e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Geändert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Inlandsvorrang: Eigenmarken und Importe beim Handel, grenzüberschreitend B2B beim Empfänger (ZSVR, ohne Übergangsfrist)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Begriff des Erzeugers (Konformität)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nicht vorhanden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 ergänzend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3 Abs. 1 Nr. 13, Art. 21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Neu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Verantwortet Bewertung, Dokumentation, Konformitätserklärung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Systembeteiligungspflichtige Verpackung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 Abs. 8: Verkaufs- und Umverpackungen, typischerweise privater Endverbraucher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 Abs. 6: auch Transport- und Primärproduktionsverpackungen, Gesamtmarkt typgleicher Verpackungen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45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Geändert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Versandverpackungen an Endabnehmer ausnahmslos systembeteiligungspflichtig (ZSVR)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Registrierung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9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6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44, Anhang IX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 im Kern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Bestehende Registrierungen gelten fort; Änderungen bis 12.11.2026; erstmals Verpflichtete bis 12.09.2026 (§ 68 Abs. 2)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Bevollmächtigter für die EPR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nicht vorhanden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5 Abs. 2 bis 5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45 Abs. 3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Neu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Pflicht für Hersteller ohne Niederlassung in Deutschland; nur einer; Vollmacht in deutscher Sprache; bei Registrierung benennen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Beauftragung Dritter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35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5 Abs. 1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45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Registrierung und Datenmeldung nicht delegierbar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Systembeteiligung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7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7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45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 im Kern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Vor Bereitstellung oder Auspacken; Vorverlagerung bei Serviceverpackungen bleibt (§ 7 Abs. 2); alte Beteiligungen bis 31.12.2026 (§ 68 Abs. 1)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Branchenlösungen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8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8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45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 im Kern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Ohne Zulassung nach § 22 bis 31.10.2027 (§ 68 Abs. 6, 7)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Datenmeldung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10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9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44 Abs. 7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Geändert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Unter 10 t Vorjahresmenge nur jährlich bis 1. Juni (§ 9 Abs. 2)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Vollständigkeitserklärung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11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10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44 Abs. 7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 im Kern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Schwellen 80 t Glas, 50 t PPK, 30 t übrige; bis 15. Mai; für 2026 ausschließlich § 10 (§ 68 Abs. 5)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Ausnahmen von der Systembeteiligung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12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11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45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Mehrweg in Systemen, Pfandverpackungen, schadstoffhaltige Füllgüter, nicht an Endabnehmer im Inland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Bereitstellungsverbote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7 Abs. 1 S. 1, § 9 Abs. 5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13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44 Abs. 4, Art. 45 Abs. 4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Neu gefasst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Auch für Vertreiber, Fulfilment-Dienstleister und Online-Plattformen; automatisierter Datenabgleich der ZSVR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Stoffbeschränkungen Schwermetalle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5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§§ 14 bis 18 (Ausnahmen Kunststoffkästen, Paletten, Glas)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5 Abs. 4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Aufgegangen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Ausnahmen entfallen, sobald die Kommission die Entscheidungen 1999/177/EG und 2001/171/EG aufhebt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PFAS in Lebensmittelkontaktverpackungen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nicht vorhanden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nicht geregelt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5 Abs. 5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Neu (EU)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Seit 12.08.2026 ohne Übergangsfrist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Materialkennzeichnung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6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4, Anlage 2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12, Art. 70 Abs. 2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Aufgegangen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Freiwillig bis 12.08.2028, dann harmonisierte Kennzeichnung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Zulassung von Herstellern ohne Systembeteiligung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nicht vorhanden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19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47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Neu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Pflicht ab 01.01.2028 (§ 68 Abs. 9); alternativ sonstige Organisation nach § 22; ZSVR-Systeme ab Herbst 2027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Zulassung von Systemen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18 (Genehmigung)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§§ 20, 21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46, 47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Geändert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Genehmigte Systeme gelten als zugelassen, Nachweise bis 01.01.2027 (§ 68 Abs. 11)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Sonstige Organisationen für Herstellerverantwortung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nicht vorhanden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22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46, 47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Neu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Ohne Zulassung bis 31.10.2027 (§ 68 Abs. 12)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Rücknahme nicht systembeteiligungspflichtiger Verpackungen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15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39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45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 im Kern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Am Übergabeort, unentgeltlich; Dokumentation bis 15. Mai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Mindestrezyklat Einweggetränkeflaschen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30a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45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7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PET 25 %; alle Kunststoffflaschen 30 % ab 01.01.2030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Pfand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31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46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50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Mindestens 0,25 Euro; Kennzeichnung als pfandpflichtig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Hinweispflichten Einweg/Mehrweg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32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47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nationale Ergänzung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EINWEG / MEHRWEG in Verkaufsstelle und Fernabsatz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Mehrwegalternative zum Mitnehmen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§§ 33, 34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§§ 60, 61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32, 33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Unverändert im Kern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Ab 12.02.2027 zusätzlich Art. 32 (eigene Behältnisse), ab 12.02.2028 Art. 33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Konformitätsbewertung und -erklärung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nicht vorhanden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62 (Sprache), §§ 63 bis 65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15, 38, 39, Anhänge VII, VIII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Neu (EU)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Erklärung deutsch oder englisch nach Wahl, Übersetzung ins Deutsche auf Verlangen</w:t>
            </w:r>
          </w:p>
        </w:tc>
      </w:tr>
      <w:tr>
        <w:trPr>
          <w:tblHeader w:val="false"/>
        </w:trPr>
        <w:tc>
          <w:tcPr>
            <w:tcW w:type="dxa" w:w="23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Bußgelder</w:t>
            </w:r>
          </w:p>
        </w:tc>
        <w:tc>
          <w:tcPr>
            <w:tcW w:type="dxa" w:w="22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36</w:t>
            </w:r>
          </w:p>
        </w:tc>
        <w:tc>
          <w:tcPr>
            <w:tcW w:type="dxa" w:w="2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§ 66 Abs. 1 (national), Abs. 2 (Verordnung)</w:t>
            </w:r>
          </w:p>
        </w:tc>
        <w:tc>
          <w:tcPr>
            <w:tcW w:type="dxa" w:w="19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Art. 68</w:t>
            </w:r>
          </w:p>
        </w:tc>
        <w:tc>
          <w:tcPr>
            <w:tcW w:type="dxa" w:w="140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Geändert</w:t>
            </w:r>
          </w:p>
        </w:tc>
        <w:tc>
          <w:tcPr>
            <w:tcW w:type="dxa" w:w="4370"/>
            <w:tcBorders>
              <w:top w:val="single" w:color="C9D1DC" w:sz="4"/>
              <w:left w:val="single" w:color="C9D1DC" w:sz="4"/>
              <w:bottom w:val="single" w:color="C9D1DC" w:sz="4"/>
              <w:right w:val="single" w:color="C9D1DC" w:sz="4"/>
            </w:tcBorders>
            <w:tcMar>
              <w:top w:type="dxa" w:w="70"/>
              <w:left w:type="dxa" w:w="90"/>
              <w:bottom w:type="dxa" w:w="70"/>
              <w:right w:type="dxa" w:w="90"/>
            </w:tcMar>
            <w:vAlign w:val="top"/>
          </w:tcPr>
          <w:p>
            <w:pPr>
              <w:spacing w:after="40" w:line="250"/>
            </w:pPr>
            <w:r>
              <w:rPr>
                <w:rFonts w:ascii="Arial" w:cs="Arial" w:eastAsia="Arial" w:hAnsi="Arial"/>
                <w:b w:val="false"/>
                <w:bCs w:val="false"/>
                <w:color w:val="15233B"/>
                <w:sz w:val="17"/>
                <w:szCs w:val="17"/>
              </w:rPr>
              <w:t xml:space="preserve">Bis 200.000 / 100.000 / 10.000 Euro je nach Tatbestand (§ 66 Abs. 3)</w:t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1DC" w:sz="4" w:space="4"/>
      </w:pBdr>
      <w:tabs>
        <w:tab w:val="right" w:pos="14570"/>
      </w:tabs>
    </w:pPr>
    <w:r>
      <w:rPr>
        <w:rFonts w:ascii="Arial" w:cs="Arial" w:eastAsia="Arial" w:hAnsi="Arial"/>
        <w:color w:val="5C6672"/>
        <w:sz w:val="14"/>
        <w:szCs w:val="14"/>
      </w:rPr>
      <w:t xml:space="preserve">Synopse bereitgestellt von Polygon One GmbH, polygon-one.com. Stand September 2026. Keine Rechtsberatung. VerpackG-Paragrafen in der bis 11.08.2026 geltenden Fassung.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5C6672"/>
        <w:sz w:val="14"/>
        <w:szCs w:val="14"/>
      </w:rPr>
      <w:t xml:space="preserve">Seite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1DC" w:sz="4" w:space="4"/>
      </w:pBdr>
      <w:tabs>
        <w:tab w:val="right" w:pos="14570"/>
      </w:tabs>
      <w:spacing w:after="120"/>
    </w:pPr>
    <w:r>
      <w:rPr>
        <w:rFonts w:ascii="Arial" w:cs="Arial" w:eastAsia="Arial" w:hAnsi="Arial"/>
        <w:color w:val="5C6672"/>
        <w:sz w:val="16"/>
        <w:szCs w:val="16"/>
      </w:rPr>
      <w:t xml:space="preserve">Synopse: Verpackungsgesetz, Verpackungsrecht-Durchführungsgesetz und Verordnung (EU) 2025/40</w:t>
    </w:r>
    <w:r>
      <w:rPr>
        <w:rFonts w:ascii="Arial" w:cs="Arial" w:eastAsia="Arial" w:hAnsi="Arial"/>
      </w:rPr>
      <w:t xml:space="preserve">	</w:t>
    </w:r>
    <w:r>
      <w:drawing>
        <wp:inline distT="0" distB="0" distL="0" distR="0">
          <wp:extent cx="914400" cy="128588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28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3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f7aa91b198ce0b46bce71dd75501b101bd0952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Synopse VerpackG, VerpackDG, PPWR</dc:title>
  <dc:creator>Polygon One GmbH</dc:creator>
  <cp:lastModifiedBy>Un-named</cp:lastModifiedBy>
  <cp:revision>1</cp:revision>
  <dcterms:created xsi:type="dcterms:W3CDTF">2026-09-08T15:16:50.417Z</dcterms:created>
  <dcterms:modified xsi:type="dcterms:W3CDTF">2026-09-08T15:16:50.430Z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