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0"/>
          <w:szCs w:val="30"/>
        </w:rPr>
        <w:t xml:space="preserve">PPWR transport packaging checklist</w:t>
      </w:r>
    </w:p>
    <w:p>
      <w:pPr>
        <w:spacing w:after="160"/>
      </w:pPr>
      <w:r>
        <w:rPr>
          <w:rFonts w:ascii="Arial" w:cs="Arial" w:eastAsia="Arial" w:hAnsi="Arial"/>
          <w:i/>
          <w:iCs/>
          <w:color w:val="5C6672"/>
          <w:sz w:val="18"/>
          <w:szCs w:val="18"/>
        </w:rPr>
        <w:t xml:space="preserve">For every transport packaging in B2B practice: who is the manufacturer, who issues the declaration of conformity, which substance duties have applied since 12 August 2026, what the German Packaging Act Implementation Act requires and what comes in 2030. Basis: Regulation (EU) 2025/40, Commission guidance C/2026/3702, Commission FAQ 2nd edition, VerpackDG, interpretations of the Central Agency Packaging Register (as at 12 August 2026).</w:t>
      </w:r>
    </w:p>
    <w:p>
      <w:pPr>
        <w:pStyle w:val="Heading1"/>
        <w:spacing w:after="160" w:before="240"/>
      </w:pPr>
      <w:r>
        <w:rPr>
          <w:rFonts w:ascii="Arial" w:cs="Arial" w:eastAsia="Arial" w:hAnsi="Arial"/>
          <w:b/>
          <w:bCs/>
          <w:color w:val="15233B"/>
          <w:sz w:val="30"/>
          <w:szCs w:val="30"/>
        </w:rPr>
        <w:t xml:space="preserve">Part A: duties per packaging type</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600"/>
        <w:gridCol w:w="2300"/>
        <w:gridCol w:w="2100"/>
        <w:gridCol w:w="2500"/>
        <w:gridCol w:w="2700"/>
        <w:gridCol w:w="2370"/>
      </w:tblGrid>
      <w:tr>
        <w:trPr>
          <w:tblHeader/>
        </w:trPr>
        <w:tc>
          <w:tcPr>
            <w:tcW w:type="dxa" w:w="26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Packaging type</w:t>
            </w:r>
          </w:p>
        </w:tc>
        <w:tc>
          <w:tcPr>
            <w:tcW w:type="dxa" w:w="23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Manufacturer as a rule</w:t>
            </w:r>
          </w:p>
        </w:tc>
        <w:tc>
          <w:tcPr>
            <w:tcW w:type="dxa" w:w="21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Declaration of conformity</w:t>
            </w:r>
          </w:p>
        </w:tc>
        <w:tc>
          <w:tcPr>
            <w:tcW w:type="dxa" w:w="2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Substance duties Art. 5 (2026)</w:t>
            </w:r>
          </w:p>
        </w:tc>
        <w:tc>
          <w:tcPr>
            <w:tcW w:type="dxa" w:w="27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Germany (VerpackDG)</w:t>
            </w:r>
          </w:p>
        </w:tc>
        <w:tc>
          <w:tcPr>
            <w:tcW w:type="dxa" w:w="237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From 2030 (Art. 24, 29)</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Euro pallet, plastic pallet, unbranded</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Pallet producer (rigid)</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 100 mg/kg; wood: evidence via producer</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Registration; take-back Section 39; Section 19 approval from 2028 (Section 68(9))</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Reuse 40 %, domestic transport 100 %; reusable: Art. 11, 26, 27, Annex VI</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Pallet with your own logo</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You (Art. 3(1)(13)(a))</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Issue</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Substance data from producer (Art. 16)</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Pallet collar, crate, slatted box</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Producer of the empty packaging</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Registration; take-back Section 39; Section 19 approval from 2028</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Reuse targets; cardboard crates exempt</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Drum, jerrican, IBC (bulk container)</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Producer of the empty packaging</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 PFAS for food contact</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 dangerous goods: reuse targets exempt</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Reuse targets, except dangerous goods (Art. 29(4)(a))</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Stretch film, shrink hood</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Inconsistent: film producer (Commission FAQ II.5) or whoever applies it (ZSVR)</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 and document the wrapped unit yourself</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 PFAS only for food contact; substance data from film producer</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Registration; take-back Section 39; Section 19 approval from 2028</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Counts towards the reuse targets; food contact exempt (para. 4(c))</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Strapping band</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Inconsistent: band producer (Commission FAQ II.5) or whoever applies it (ZSVR)</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 and document yourself, separately from the film</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 substance data from band producer</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Counts towards the reuse targets</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Edge protector, layer pad, void fill, tape</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Component of the packaging you assemble</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List in your declaration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Substance data per component</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Part of the respective packaging</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Void fill counts as empty space (Art. 24(3))</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Unbranded shipping box, delivered complete (e.g. mailer with adhesive strip)</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Box producer, as long as you change nothing</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Shipping to end users: dual system participation required (ZSVR), also to businesses</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Empty space max. 50 %; e-commerce: sorting label from 2028</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Shipping box you assemble with tape and void fill</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You (ZSVR: the packaging arises through you)</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Issue</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Substance data from box, tape and void fill supplier</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Shipping box with your own logo</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You (Art. 3(1)(13)(a))</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Issue</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Substance data from producer</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as above</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Used box, used again</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You, if you add tape and void fill</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Issue (hard in practice: substance data missing)</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Substance data mostly unavailable</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Participation in a dual system if earlier participation unprovable (ZSVR practice)</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Not reusable under the Regulation</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Reusable box in pool system</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System operator if designed to its specifications and under its brand, otherwise box producer (guidance)</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Obtain</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Heavy metals; Art. 11 requirements</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Take-back Section 39(6); reuse system Annex VI (Art. 26, 27)</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Counts towards the reuse targets; placed before 11 February 2025: grandfathered</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Custom-made transport packaging for configurable medical devices</w:t>
            </w:r>
          </w:p>
        </w:tc>
        <w:tc>
          <w:tcPr>
            <w:tcW w:type="dxa" w:w="2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Manufacturer remains, Art. 15(2) and (3) do not apply</w:t>
            </w:r>
          </w:p>
        </w:tc>
        <w:tc>
          <w:tcPr>
            <w:tcW w:type="dxa" w:w="21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No assessment or documentation under Art. 15(11)</w:t>
            </w:r>
          </w:p>
        </w:tc>
        <w:tc>
          <w:tcPr>
            <w:tcW w:type="dxa" w:w="2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Art. 5 still applies</w:t>
            </w:r>
          </w:p>
        </w:tc>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Registration</w:t>
            </w:r>
          </w:p>
        </w:tc>
        <w:tc>
          <w:tcPr>
            <w:tcW w:type="dxa" w:w="23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Large equipment with individual packaging: reuse targets exempt (para. 4(b))</w:t>
            </w:r>
          </w:p>
        </w:tc>
      </w:tr>
    </w:tbl>
    <w:p>
      <w:r>
        <w:br w:type="page"/>
      </w:r>
    </w:p>
    <w:p>
      <w:pPr>
        <w:pStyle w:val="Heading1"/>
        <w:spacing w:after="160" w:before="240"/>
      </w:pPr>
      <w:r>
        <w:rPr>
          <w:rFonts w:ascii="Arial" w:cs="Arial" w:eastAsia="Arial" w:hAnsi="Arial"/>
          <w:b/>
          <w:bCs/>
          <w:color w:val="15233B"/>
          <w:sz w:val="30"/>
          <w:szCs w:val="30"/>
        </w:rPr>
        <w:t xml:space="preserve">Part B: the six check steps</w:t>
      </w:r>
    </w:p>
    <w:p>
      <w:pPr>
        <w:keepNext/>
        <w:spacing w:after="40" w:before="160"/>
      </w:pPr>
      <w:r>
        <w:rPr>
          <w:rFonts w:ascii="Arial" w:cs="Arial" w:eastAsia="Arial" w:hAnsi="Arial"/>
          <w:b/>
          <w:bCs/>
          <w:color w:val="1F63B3"/>
          <w:sz w:val="19"/>
          <w:szCs w:val="19"/>
        </w:rPr>
        <w:t xml:space="preserve">1  </w:t>
      </w:r>
      <w:r>
        <w:rPr>
          <w:rFonts w:ascii="Arial" w:cs="Arial" w:eastAsia="Arial" w:hAnsi="Arial"/>
          <w:b/>
          <w:bCs/>
          <w:color w:val="15233B"/>
          <w:sz w:val="19"/>
          <w:szCs w:val="19"/>
        </w:rPr>
        <w:t xml:space="preserve">Record transport packaging</w:t>
      </w:r>
    </w:p>
    <w:p>
      <w:pPr>
        <w:spacing w:after="30"/>
        <w:ind w:left="360"/>
      </w:pPr>
      <w:r>
        <w:rPr>
          <w:rFonts w:ascii="Arial" w:cs="Arial" w:eastAsia="Arial" w:hAnsi="Arial"/>
          <w:color w:val="15233B"/>
          <w:sz w:val="19"/>
          <w:szCs w:val="19"/>
        </w:rPr>
        <w:t xml:space="preserve">Each packaging type separately: pallets by type, collars, films, bands, boxes by format, void fill, tape, reusable containers. With supplier, material, weight, single-use or reusable and use. Template in Part D.</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keepNext/>
        <w:spacing w:after="40" w:before="160"/>
      </w:pPr>
      <w:r>
        <w:rPr>
          <w:rFonts w:ascii="Arial" w:cs="Arial" w:eastAsia="Arial" w:hAnsi="Arial"/>
          <w:b/>
          <w:bCs/>
          <w:color w:val="1F63B3"/>
          <w:sz w:val="19"/>
          <w:szCs w:val="19"/>
        </w:rPr>
        <w:t xml:space="preserve">2  </w:t>
      </w:r>
      <w:r>
        <w:rPr>
          <w:rFonts w:ascii="Arial" w:cs="Arial" w:eastAsia="Arial" w:hAnsi="Arial"/>
          <w:b/>
          <w:bCs/>
          <w:color w:val="15233B"/>
          <w:sz w:val="19"/>
          <w:szCs w:val="19"/>
        </w:rPr>
        <w:t xml:space="preserve">Clarify manufacturer role per packaging type</w:t>
      </w:r>
    </w:p>
    <w:p>
      <w:pPr>
        <w:spacing w:after="30"/>
        <w:ind w:left="360"/>
      </w:pPr>
      <w:r>
        <w:rPr>
          <w:rFonts w:ascii="Arial" w:cs="Arial" w:eastAsia="Arial" w:hAnsi="Arial"/>
          <w:color w:val="15233B"/>
          <w:sz w:val="19"/>
          <w:szCs w:val="19"/>
        </w:rPr>
        <w:t xml:space="preserve">Rigid or flexible, branded or unbranded, delivered complete or assembled by you. Result: obtain the declaration or issue it yourself.</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keepNext/>
        <w:spacing w:after="40" w:before="160"/>
      </w:pPr>
      <w:r>
        <w:rPr>
          <w:rFonts w:ascii="Arial" w:cs="Arial" w:eastAsia="Arial" w:hAnsi="Arial"/>
          <w:b/>
          <w:bCs/>
          <w:color w:val="1F63B3"/>
          <w:sz w:val="19"/>
          <w:szCs w:val="19"/>
        </w:rPr>
        <w:t xml:space="preserve">3  </w:t>
      </w:r>
      <w:r>
        <w:rPr>
          <w:rFonts w:ascii="Arial" w:cs="Arial" w:eastAsia="Arial" w:hAnsi="Arial"/>
          <w:b/>
          <w:bCs/>
          <w:color w:val="15233B"/>
          <w:sz w:val="19"/>
          <w:szCs w:val="19"/>
        </w:rPr>
        <w:t xml:space="preserve">Organise evidence</w:t>
      </w:r>
    </w:p>
    <w:p>
      <w:pPr>
        <w:spacing w:after="30"/>
        <w:ind w:left="360"/>
      </w:pPr>
      <w:r>
        <w:rPr>
          <w:rFonts w:ascii="Arial" w:cs="Arial" w:eastAsia="Arial" w:hAnsi="Arial"/>
          <w:color w:val="15233B"/>
          <w:sz w:val="19"/>
          <w:szCs w:val="19"/>
        </w:rPr>
        <w:t xml:space="preserve">Obtain declarations of conformity from pallet, box, film and band producers. Request substance data per component, with the basis of evidence (test report or supplier declaration). Art. 16 obliges suppliers to cooperate.</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keepNext/>
        <w:spacing w:after="40" w:before="160"/>
      </w:pPr>
      <w:r>
        <w:rPr>
          <w:rFonts w:ascii="Arial" w:cs="Arial" w:eastAsia="Arial" w:hAnsi="Arial"/>
          <w:b/>
          <w:bCs/>
          <w:color w:val="1F63B3"/>
          <w:sz w:val="19"/>
          <w:szCs w:val="19"/>
        </w:rPr>
        <w:t xml:space="preserve">4  </w:t>
      </w:r>
      <w:r>
        <w:rPr>
          <w:rFonts w:ascii="Arial" w:cs="Arial" w:eastAsia="Arial" w:hAnsi="Arial"/>
          <w:b/>
          <w:bCs/>
          <w:color w:val="15233B"/>
          <w:sz w:val="19"/>
          <w:szCs w:val="19"/>
        </w:rPr>
        <w:t xml:space="preserve">Issue your own declarations, document units</w:t>
      </w:r>
    </w:p>
    <w:p>
      <w:pPr>
        <w:spacing w:after="30"/>
        <w:ind w:left="360"/>
      </w:pPr>
      <w:r>
        <w:rPr>
          <w:rFonts w:ascii="Arial" w:cs="Arial" w:eastAsia="Arial" w:hAnsi="Arial"/>
          <w:color w:val="15233B"/>
          <w:sz w:val="19"/>
          <w:szCs w:val="19"/>
        </w:rPr>
        <w:t xml:space="preserve">For assembled shipping boxes and anything with your own logo: technical documentation under Annex VII and a declaration of conformity under Annex VIII per packaging type. For the wrapped pallet at least your own documentation with all components and the producers' declarations as annexes, because the Commission and the ZSVR determine the manufacturer of film and band differently. Declare only the requirements applying in 2026.</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keepNext/>
        <w:spacing w:after="40" w:before="160"/>
      </w:pPr>
      <w:r>
        <w:rPr>
          <w:rFonts w:ascii="Arial" w:cs="Arial" w:eastAsia="Arial" w:hAnsi="Arial"/>
          <w:b/>
          <w:bCs/>
          <w:color w:val="1F63B3"/>
          <w:sz w:val="19"/>
          <w:szCs w:val="19"/>
        </w:rPr>
        <w:t xml:space="preserve">5  </w:t>
      </w:r>
      <w:r>
        <w:rPr>
          <w:rFonts w:ascii="Arial" w:cs="Arial" w:eastAsia="Arial" w:hAnsi="Arial"/>
          <w:b/>
          <w:bCs/>
          <w:color w:val="15233B"/>
          <w:sz w:val="19"/>
          <w:szCs w:val="19"/>
        </w:rPr>
        <w:t xml:space="preserve">Clarify producer role per target market</w:t>
      </w:r>
    </w:p>
    <w:p>
      <w:pPr>
        <w:spacing w:after="30"/>
        <w:ind w:left="360"/>
      </w:pPr>
      <w:r>
        <w:rPr>
          <w:rFonts w:ascii="Arial" w:cs="Arial" w:eastAsia="Arial" w:hAnsi="Arial"/>
          <w:color w:val="15233B"/>
          <w:sz w:val="19"/>
          <w:szCs w:val="19"/>
        </w:rPr>
        <w:t xml:space="preserve">Where do you deliver, to end users or to distributors, and who opens the supply chain there? This determines LUCID registration, take-back under Section 39, authorised representatives elsewhere in the EU, dual system participation for shipping packaging to end users and, from 2028, approval under Section 19 VerpackDG.</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keepNext/>
        <w:spacing w:after="40" w:before="160"/>
      </w:pPr>
      <w:r>
        <w:rPr>
          <w:rFonts w:ascii="Arial" w:cs="Arial" w:eastAsia="Arial" w:hAnsi="Arial"/>
          <w:b/>
          <w:bCs/>
          <w:color w:val="1F63B3"/>
          <w:sz w:val="19"/>
          <w:szCs w:val="19"/>
        </w:rPr>
        <w:t xml:space="preserve">6  </w:t>
      </w:r>
      <w:r>
        <w:rPr>
          <w:rFonts w:ascii="Arial" w:cs="Arial" w:eastAsia="Arial" w:hAnsi="Arial"/>
          <w:b/>
          <w:bCs/>
          <w:color w:val="15233B"/>
          <w:sz w:val="19"/>
          <w:szCs w:val="19"/>
        </w:rPr>
        <w:t xml:space="preserve">Prepare for 2030</w:t>
      </w:r>
    </w:p>
    <w:p>
      <w:pPr>
        <w:spacing w:after="30"/>
        <w:ind w:left="360"/>
      </w:pPr>
      <w:r>
        <w:rPr>
          <w:rFonts w:ascii="Arial" w:cs="Arial" w:eastAsia="Arial" w:hAnsi="Arial"/>
          <w:color w:val="15233B"/>
          <w:sz w:val="19"/>
          <w:szCs w:val="19"/>
        </w:rPr>
        <w:t xml:space="preserve">Determine the share of reusable transport packaging (target 40 %, domestic transport 100 %), measure empty space per shipping unit (max. 50 %, void fill counts), check pool systems and the reuse system under Annex VI.</w:t>
      </w:r>
    </w:p>
    <w:p>
      <w:pPr>
        <w:spacing w:after="80"/>
        <w:ind w:left="360"/>
      </w:pPr>
      <w:r>
        <w:rPr>
          <w:rFonts w:ascii="Arial" w:cs="Arial" w:eastAsia="Arial" w:hAnsi="Arial"/>
          <w:b/>
          <w:bCs/>
          <w:color w:val="15233B"/>
          <w:sz w:val="19"/>
          <w:szCs w:val="19"/>
        </w:rPr>
        <w:t xml:space="preserve">☐ done   </w:t>
      </w:r>
      <w:r>
        <w:rPr>
          <w:rFonts w:ascii="Arial" w:cs="Arial" w:eastAsia="Arial" w:hAnsi="Arial"/>
          <w:color w:val="15233B"/>
          <w:sz w:val="19"/>
          <w:szCs w:val="19"/>
        </w:rPr>
        <w:t xml:space="preserve">Responsible: ____________   Due date: ____________</w:t>
      </w:r>
    </w:p>
    <w:p>
      <w:pPr>
        <w:pStyle w:val="Heading1"/>
        <w:spacing w:after="160" w:before="240"/>
      </w:pPr>
      <w:r>
        <w:rPr>
          <w:rFonts w:ascii="Arial" w:cs="Arial" w:eastAsia="Arial" w:hAnsi="Arial"/>
          <w:b/>
          <w:bCs/>
          <w:color w:val="15233B"/>
          <w:sz w:val="30"/>
          <w:szCs w:val="30"/>
        </w:rPr>
        <w:t xml:space="preserve">Part C: deadlines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600"/>
        <w:gridCol w:w="11970"/>
      </w:tblGrid>
      <w:tr>
        <w:trPr>
          <w:tblHeader/>
        </w:trPr>
        <w:tc>
          <w:tcPr>
            <w:tcW w:type="dxa" w:w="26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Date</w:t>
            </w:r>
          </w:p>
        </w:tc>
        <w:tc>
          <w:tcPr>
            <w:tcW w:type="dxa" w:w="1197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What applies</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12.08.2026</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Art. 5, 6(1), 11, 15, 22, 26, 38, 39 for all transport packaging. Germany: LUCID registration (Section 6), take-back at the handover point (Section 39), shipping packaging to end users requires dual system participation (ZSVR).</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12.11.2026</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Germany: enter changes to existing LUCID registrations (Section 68(2) VerpackDG).</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30.06.2027</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Commission sets the calculation method for the reuse targets (Art. 30(3)).</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01.01.2028</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Germany: approval under Section 19 VerpackDG for producers of packaging not subject to dual system participation, alternatively an approved other producer responsibility organisation. ZSVR application systems expected from autumn 2027.</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12.02.2028</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Commission sets the calculation method for the empty space ratio (Art. 24(2)).</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12.08.2028</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Sorting label under Art. 12(1), not for transport packaging, except packaging for electronic commerce (or 24 months after the implementing act).</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12.02.2029</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Labelling of reusable packaging under Art. 12(2) (or 30 months after the implementing act).</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01.01.2030</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Empty space max. 50 % (Art. 24), reuse 40 % or 100 % in domestic transport (Art. 29), packaging minimisation (Art. 10), recyclability performance grades (Art. 6(2)), each partly dependent on Commission legal acts.</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01.01.2040</w:t>
            </w:r>
          </w:p>
        </w:tc>
        <w:tc>
          <w:tcPr>
            <w:tcW w:type="dxa" w:w="119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Target value 70 % reusable transport packaging (best-efforts duty, Art. 29(1)).</w:t>
            </w:r>
          </w:p>
        </w:tc>
      </w:tr>
    </w:tbl>
    <w:p>
      <w:r>
        <w:br w:type="page"/>
      </w:r>
    </w:p>
    <w:p>
      <w:pPr>
        <w:pStyle w:val="Heading1"/>
        <w:spacing w:after="160" w:before="240"/>
      </w:pPr>
      <w:r>
        <w:rPr>
          <w:rFonts w:ascii="Arial" w:cs="Arial" w:eastAsia="Arial" w:hAnsi="Arial"/>
          <w:b/>
          <w:bCs/>
          <w:color w:val="15233B"/>
          <w:sz w:val="30"/>
          <w:szCs w:val="30"/>
        </w:rPr>
        <w:t xml:space="preserve">Part D: inventory of your transport packaging</w:t>
      </w:r>
    </w:p>
    <w:p>
      <w:pPr>
        <w:spacing w:after="160"/>
      </w:pPr>
      <w:r>
        <w:rPr>
          <w:rFonts w:ascii="Arial" w:cs="Arial" w:eastAsia="Arial" w:hAnsi="Arial"/>
          <w:i/>
          <w:iCs/>
          <w:color w:val="5C6672"/>
          <w:sz w:val="18"/>
          <w:szCs w:val="18"/>
        </w:rPr>
        <w:t xml:space="preserve">One row per packaging type. Fill in the manufacturer and declaration of conformity columns as per Part A.</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200"/>
        <w:gridCol w:w="1700"/>
        <w:gridCol w:w="1500"/>
        <w:gridCol w:w="1000"/>
        <w:gridCol w:w="1200"/>
        <w:gridCol w:w="1500"/>
        <w:gridCol w:w="1500"/>
        <w:gridCol w:w="1900"/>
        <w:gridCol w:w="2070"/>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Packaging type</w:t>
            </w:r>
          </w:p>
        </w:tc>
        <w:tc>
          <w:tcPr>
            <w:tcW w:type="dxa" w:w="17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Supplier</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Material</w:t>
            </w:r>
          </w:p>
        </w:tc>
        <w:tc>
          <w:tcPr>
            <w:tcW w:type="dxa" w:w="10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Weight (g)</w:t>
            </w:r>
          </w:p>
        </w:tc>
        <w:tc>
          <w:tcPr>
            <w:tcW w:type="dxa" w:w="12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Single-use / reusable</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Target markets</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Manufacturer</w:t>
            </w:r>
          </w:p>
        </w:tc>
        <w:tc>
          <w:tcPr>
            <w:tcW w:type="dxa" w:w="19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Declaration: obtain / issue</w:t>
            </w:r>
          </w:p>
        </w:tc>
        <w:tc>
          <w:tcPr>
            <w:tcW w:type="dxa" w:w="207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40" w:line="250"/>
            </w:pPr>
            <w:r>
              <w:rPr>
                <w:rFonts w:ascii="Arial" w:cs="Arial" w:eastAsia="Arial" w:hAnsi="Arial"/>
                <w:b/>
                <w:bCs/>
                <w:color w:val="15233B"/>
                <w:sz w:val="17"/>
                <w:szCs w:val="17"/>
              </w:rPr>
              <w:t xml:space="preserve">Status, evidence</w:t>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c>
          <w:tcPr>
            <w:tcW w:type="dxa" w:w="207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40" w:line="250"/>
            </w:pPr>
            <w:r>
              <w:rPr>
                <w:rFonts w:ascii="Arial" w:cs="Arial" w:eastAsia="Arial" w:hAnsi="Arial"/>
                <w:b w:val="false"/>
                <w:bCs w:val="false"/>
                <w:color w:val="15233B"/>
                <w:sz w:val="17"/>
                <w:szCs w:val="17"/>
              </w:rPr>
              <w:t xml:space="preserve"/>
            </w:r>
          </w:p>
        </w:tc>
      </w:tr>
    </w:tbl>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14570"/>
      </w:tabs>
    </w:pPr>
    <w:r>
      <w:rPr>
        <w:rFonts w:ascii="Arial" w:cs="Arial" w:eastAsia="Arial" w:hAnsi="Arial"/>
        <w:color w:val="5C6672"/>
        <w:sz w:val="14"/>
        <w:szCs w:val="14"/>
      </w:rPr>
      <w:t xml:space="preserve">Checklist provided by Polygon One GmbH, polygon-one.com. As at September 2026. Not legal advice; roles and duties must be checked case by case.</w:t>
    </w:r>
    <w:r>
      <w:rPr>
        <w:rFonts w:ascii="Arial" w:cs="Arial" w:eastAsia="Arial" w:hAnsi="Arial"/>
      </w:rPr>
      <w:t xml:space="preserve">	</w:t>
    </w:r>
    <w:r>
      <w:rPr>
        <w:rFonts w:ascii="Arial" w:cs="Arial" w:eastAsia="Arial" w:hAnsi="Arial"/>
        <w:color w:val="5C6672"/>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14570"/>
      </w:tabs>
      <w:spacing w:after="120"/>
    </w:pPr>
    <w:r>
      <w:rPr>
        <w:rFonts w:ascii="Arial" w:cs="Arial" w:eastAsia="Arial" w:hAnsi="Arial"/>
        <w:color w:val="5C6672"/>
        <w:sz w:val="16"/>
        <w:szCs w:val="16"/>
      </w:rPr>
      <w:t xml:space="preserve">PPWR transport packaging checklist: duties per packaging type in B2B</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PPWR-Checkliste Transportverpackungen</dc:title>
  <dc:creator>Polygon One GmbH</dc:creator>
  <cp:lastModifiedBy>Un-named</cp:lastModifiedBy>
  <cp:revision>1</cp:revision>
  <dcterms:created xsi:type="dcterms:W3CDTF">2026-09-04T15:49:43.752Z</dcterms:created>
  <dcterms:modified xsi:type="dcterms:W3CDTF">2026-09-04T15:49:43.752Z</dcterms:modified>
</cp:coreProperties>
</file>

<file path=docProps/custom.xml><?xml version="1.0" encoding="utf-8"?>
<Properties xmlns="http://schemas.openxmlformats.org/officeDocument/2006/custom-properties" xmlns:vt="http://schemas.openxmlformats.org/officeDocument/2006/docPropsVTypes"/>
</file>