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olor w:val="15233B"/>
          <w:sz w:val="32"/>
          <w:szCs w:val="32"/>
        </w:rPr>
        <w:t xml:space="preserve">Technische Dokumentation Nr. </w:t>
      </w:r>
      <w:r>
        <w:rPr>
          <w:rFonts w:ascii="Arial" w:cs="Arial" w:eastAsia="Arial" w:hAnsi="Arial"/>
          <w:b/>
          <w:bCs/>
          <w:color w:val="5C6672"/>
          <w:sz w:val="32"/>
          <w:szCs w:val="32"/>
        </w:rPr>
        <w:t xml:space="preserve">[TD-2026-0001]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5C6672"/>
          <w:sz w:val="18"/>
          <w:szCs w:val="18"/>
        </w:rPr>
        <w:t xml:space="preserve">Konformitätsbewertung nach Artikel 38 und Anhang VII, Modul A (interne Fertigungskontrolle). Die Gliederung folgt Anhang VII Nummer 2 Buchstaben a bis f und ergänzt die dort verlangte Analyse und Bewertung der Risiken der Nichtkonformität. Kursive Hinweise beim Ausfüllen löschen. Eine Dokumentation je Verpackungsart.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638"/>
      </w:tblGrid>
      <w:tr>
        <w:trPr>
          <w:tblHeader/>
        </w:trPr>
        <w:tc>
          <w:tcPr>
            <w:tcW w:type="dxa" w:w="30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Feld</w:t>
            </w:r>
          </w:p>
        </w:tc>
        <w:tc>
          <w:tcPr>
            <w:tcW w:type="dxa" w:w="66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Angabe</w:t>
            </w:r>
          </w:p>
        </w:tc>
      </w:tr>
      <w:tr>
        <w:trPr>
          <w:tblHeader w:val="false"/>
        </w:trPr>
        <w:tc>
          <w:tcPr>
            <w:tcW w:type="dxa" w:w="30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Erzeuger (Art. 3 Abs. 1 Nr. 13)</w:t>
            </w:r>
          </w:p>
        </w:tc>
        <w:tc>
          <w:tcPr>
            <w:tcW w:type="dxa" w:w="66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[Firma, Anschrift, Ansprechperson]</w:t>
            </w:r>
          </w:p>
        </w:tc>
      </w:tr>
      <w:tr>
        <w:trPr>
          <w:tblHeader w:val="false"/>
        </w:trPr>
        <w:tc>
          <w:tcPr>
            <w:tcW w:type="dxa" w:w="30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Verpackungsart / Verpackungseinheit</w:t>
            </w:r>
          </w:p>
        </w:tc>
        <w:tc>
          <w:tcPr>
            <w:tcW w:type="dxa" w:w="66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[Bezeichnung, Typ, Artikelnummer, Kennung nach Art. 15 Abs. 5]</w:t>
            </w:r>
          </w:p>
        </w:tc>
      </w:tr>
      <w:tr>
        <w:trPr>
          <w:tblHeader w:val="false"/>
        </w:trPr>
        <w:tc>
          <w:tcPr>
            <w:tcW w:type="dxa" w:w="30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Verpackungskategorie</w:t>
            </w:r>
          </w:p>
        </w:tc>
        <w:tc>
          <w:tcPr>
            <w:tcW w:type="dxa" w:w="66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[Verkaufs-, Um-, Transport-, Service- oder Primärproduktionsverpackung; Einweg oder Mehrweg; Lebensmittelkontakt ja/nein]</w:t>
            </w:r>
          </w:p>
        </w:tc>
      </w:tr>
      <w:tr>
        <w:trPr>
          <w:tblHeader w:val="false"/>
        </w:trPr>
        <w:tc>
          <w:tcPr>
            <w:tcW w:type="dxa" w:w="30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Zugehörige Konformitätserklärung</w:t>
            </w:r>
          </w:p>
        </w:tc>
        <w:tc>
          <w:tcPr>
            <w:tcW w:type="dxa" w:w="66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[Nr. KE-…, Datum]</w:t>
            </w:r>
          </w:p>
        </w:tc>
      </w:tr>
      <w:tr>
        <w:trPr>
          <w:tblHeader w:val="false"/>
        </w:trPr>
        <w:tc>
          <w:tcPr>
            <w:tcW w:type="dxa" w:w="30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Version und Datum</w:t>
            </w:r>
          </w:p>
        </w:tc>
        <w:tc>
          <w:tcPr>
            <w:tcW w:type="dxa" w:w="66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[Version 1.0, TT.MM.JJJJ]</w:t>
            </w:r>
          </w:p>
        </w:tc>
      </w:tr>
      <w:tr>
        <w:trPr>
          <w:tblHeader w:val="false"/>
        </w:trPr>
        <w:tc>
          <w:tcPr>
            <w:tcW w:type="dxa" w:w="30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Verantwortlich</w:t>
            </w:r>
          </w:p>
        </w:tc>
        <w:tc>
          <w:tcPr>
            <w:tcW w:type="dxa" w:w="66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[Name, Funktion]</w:t>
            </w:r>
          </w:p>
        </w:tc>
      </w:tr>
      <w:tr>
        <w:trPr>
          <w:tblHeader w:val="false"/>
        </w:trPr>
        <w:tc>
          <w:tcPr>
            <w:tcW w:type="dxa" w:w="30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Aufbewahrung bis</w:t>
            </w:r>
          </w:p>
        </w:tc>
        <w:tc>
          <w:tcPr>
            <w:tcW w:type="dxa" w:w="66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[5 Jahre ab Inverkehrbringen, bei Mehrweg 10 Jahre; Art. 15 Abs. 3]</w:t>
            </w:r>
          </w:p>
        </w:tc>
      </w:tr>
    </w:tbl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1F63B3"/>
          <w:sz w:val="24"/>
          <w:szCs w:val="24"/>
        </w:rPr>
        <w:t xml:space="preserve">0. Änderungshistorie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5C6672"/>
          <w:sz w:val="18"/>
          <w:szCs w:val="18"/>
        </w:rPr>
        <w:t xml:space="preserve">Jede Änderung an Material, Lieferant, Druckfarbe, Klebstoff oder an einer zugrunde gelegten Norm eintragen und prüfen, ob eine erneute Bewertung nötig ist (Art. 15 Abs. 4).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1800"/>
        <w:gridCol w:w="4638"/>
        <w:gridCol w:w="1800"/>
      </w:tblGrid>
      <w:tr>
        <w:trPr>
          <w:tblHeader/>
        </w:trPr>
        <w:tc>
          <w:tcPr>
            <w:tcW w:type="dxa" w:w="1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Version</w:t>
            </w:r>
          </w:p>
        </w:tc>
        <w:tc>
          <w:tcPr>
            <w:tcW w:type="dxa" w:w="18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Datum</w:t>
            </w:r>
          </w:p>
        </w:tc>
        <w:tc>
          <w:tcPr>
            <w:tcW w:type="dxa" w:w="46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Änderung</w:t>
            </w:r>
          </w:p>
        </w:tc>
        <w:tc>
          <w:tcPr>
            <w:tcW w:type="dxa" w:w="18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Neue Bewertung nötig?</w:t>
            </w:r>
          </w:p>
        </w:tc>
      </w:tr>
      <w:tr>
        <w:trPr>
          <w:tblHeader w:val="false"/>
        </w:trPr>
        <w:tc>
          <w:tcPr>
            <w:tcW w:type="dxa" w:w="1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46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1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46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1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46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1F63B3"/>
          <w:sz w:val="24"/>
          <w:szCs w:val="24"/>
        </w:rPr>
        <w:t xml:space="preserve">1. Geltende Anforderungen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5C6672"/>
          <w:sz w:val="18"/>
          <w:szCs w:val="18"/>
        </w:rPr>
        <w:t xml:space="preserve">Anhang VII Nummer 2 verlangt, die geltenden Anforderungen aufzuführen. Nur Anforderungen ankreuzen, die zum Zeitpunkt des Inverkehrbringens anwendbar sind. Stand September 2026 sind das die folgenden; die späteren Anforderungen (Art. 6 Abs. 2, 7, 9, 10, 12) sind zur Information aufgeführt.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1300"/>
        <w:gridCol w:w="1300"/>
        <w:gridCol w:w="3638"/>
      </w:tblGrid>
      <w:tr>
        <w:trPr>
          <w:tblHeader/>
        </w:trPr>
        <w:tc>
          <w:tcPr>
            <w:tcW w:type="dxa" w:w="3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Anforderung</w:t>
            </w:r>
          </w:p>
        </w:tc>
        <w:tc>
          <w:tcPr>
            <w:tcW w:type="dxa" w:w="1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Anwendbar</w:t>
            </w:r>
          </w:p>
        </w:tc>
        <w:tc>
          <w:tcPr>
            <w:tcW w:type="dxa" w:w="1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Erfüllt</w:t>
            </w:r>
          </w:p>
        </w:tc>
        <w:tc>
          <w:tcPr>
            <w:tcW w:type="dxa" w:w="36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Nachweis in Abschnitt / Anlage</w:t>
            </w:r>
          </w:p>
        </w:tc>
      </w:tr>
      <w:tr>
        <w:trPr>
          <w:tblHeader w:val="false"/>
        </w:trPr>
        <w:tc>
          <w:tcPr>
            <w:tcW w:type="dxa" w:w="3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Art. 5 Abs. 1  Minimierung besorgniserregender Stoffe</w:t>
            </w:r>
          </w:p>
        </w:tc>
        <w:tc>
          <w:tcPr>
            <w:tcW w:type="dxa" w:w="1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[ja]</w:t>
            </w:r>
          </w:p>
        </w:tc>
        <w:tc>
          <w:tcPr>
            <w:tcW w:type="dxa" w:w="1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[ja/nein]</w:t>
            </w:r>
          </w:p>
        </w:tc>
        <w:tc>
          <w:tcPr>
            <w:tcW w:type="dxa" w:w="36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[6]</w:t>
            </w:r>
          </w:p>
        </w:tc>
      </w:tr>
      <w:tr>
        <w:trPr>
          <w:tblHeader w:val="false"/>
        </w:trPr>
        <w:tc>
          <w:tcPr>
            <w:tcW w:type="dxa" w:w="3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Art. 5 Abs. 4  Pb, Cd, Hg, Cr VI zusammen höchstens 100 mg/kg</w:t>
            </w:r>
          </w:p>
        </w:tc>
        <w:tc>
          <w:tcPr>
            <w:tcW w:type="dxa" w:w="1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[ja]</w:t>
            </w:r>
          </w:p>
        </w:tc>
        <w:tc>
          <w:tcPr>
            <w:tcW w:type="dxa" w:w="1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[ja/nein]</w:t>
            </w:r>
          </w:p>
        </w:tc>
        <w:tc>
          <w:tcPr>
            <w:tcW w:type="dxa" w:w="36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[6.1, Anlagen …]</w:t>
            </w:r>
          </w:p>
        </w:tc>
      </w:tr>
      <w:tr>
        <w:trPr>
          <w:tblHeader w:val="false"/>
        </w:trPr>
        <w:tc>
          <w:tcPr>
            <w:tcW w:type="dxa" w:w="3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Art. 5 Abs. 5  PFAS-Grenzwerte (nur Lebensmittelkontakt)</w:t>
            </w:r>
          </w:p>
        </w:tc>
        <w:tc>
          <w:tcPr>
            <w:tcW w:type="dxa" w:w="1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[ja/nein]</w:t>
            </w:r>
          </w:p>
        </w:tc>
        <w:tc>
          <w:tcPr>
            <w:tcW w:type="dxa" w:w="1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[ja/nein]</w:t>
            </w:r>
          </w:p>
        </w:tc>
        <w:tc>
          <w:tcPr>
            <w:tcW w:type="dxa" w:w="36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[6.2, Anlagen …]</w:t>
            </w:r>
          </w:p>
        </w:tc>
      </w:tr>
      <w:tr>
        <w:trPr>
          <w:tblHeader w:val="false"/>
        </w:trPr>
        <w:tc>
          <w:tcPr>
            <w:tcW w:type="dxa" w:w="3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Art. 6 Abs. 1  Recyclingfähigkeit (allgemeine Anforderung)</w:t>
            </w:r>
          </w:p>
        </w:tc>
        <w:tc>
          <w:tcPr>
            <w:tcW w:type="dxa" w:w="1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[ja]</w:t>
            </w:r>
          </w:p>
        </w:tc>
        <w:tc>
          <w:tcPr>
            <w:tcW w:type="dxa" w:w="1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[ja/nein]</w:t>
            </w:r>
          </w:p>
        </w:tc>
        <w:tc>
          <w:tcPr>
            <w:tcW w:type="dxa" w:w="36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[7.1]</w:t>
            </w:r>
          </w:p>
        </w:tc>
      </w:tr>
      <w:tr>
        <w:trPr>
          <w:tblHeader w:val="false"/>
        </w:trPr>
        <w:tc>
          <w:tcPr>
            <w:tcW w:type="dxa" w:w="3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Art. 11  Wiederverwendbare Verpackungen (nur Mehrweg)</w:t>
            </w:r>
          </w:p>
        </w:tc>
        <w:tc>
          <w:tcPr>
            <w:tcW w:type="dxa" w:w="1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[ja/nein]</w:t>
            </w:r>
          </w:p>
        </w:tc>
        <w:tc>
          <w:tcPr>
            <w:tcW w:type="dxa" w:w="1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[ja/nein]</w:t>
            </w:r>
          </w:p>
        </w:tc>
        <w:tc>
          <w:tcPr>
            <w:tcW w:type="dxa" w:w="36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[7.3]</w:t>
            </w:r>
          </w:p>
        </w:tc>
      </w:tr>
      <w:tr>
        <w:trPr>
          <w:tblHeader w:val="false"/>
        </w:trPr>
        <w:tc>
          <w:tcPr>
            <w:tcW w:type="dxa" w:w="3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Art. 15 Abs. 5 und 6  Kennung und Erzeugerangaben auf der Verpackung</w:t>
            </w:r>
          </w:p>
        </w:tc>
        <w:tc>
          <w:tcPr>
            <w:tcW w:type="dxa" w:w="1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[ja]</w:t>
            </w:r>
          </w:p>
        </w:tc>
        <w:tc>
          <w:tcPr>
            <w:tcW w:type="dxa" w:w="1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[ja/nein]</w:t>
            </w:r>
          </w:p>
        </w:tc>
        <w:tc>
          <w:tcPr>
            <w:tcW w:type="dxa" w:w="36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[3, Anlage Abbildung]</w:t>
            </w:r>
          </w:p>
        </w:tc>
      </w:tr>
      <w:tr>
        <w:trPr>
          <w:tblHeader w:val="false"/>
        </w:trPr>
        <w:tc>
          <w:tcPr>
            <w:tcW w:type="dxa" w:w="3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Art. 6 Abs. 2  Leistungsstufen (ab 01.01.2030 oder später)</w:t>
            </w:r>
          </w:p>
        </w:tc>
        <w:tc>
          <w:tcPr>
            <w:tcW w:type="dxa" w:w="1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nein</w:t>
            </w:r>
          </w:p>
        </w:tc>
        <w:tc>
          <w:tcPr>
            <w:tcW w:type="dxa" w:w="1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36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zur Information</w:t>
            </w:r>
          </w:p>
        </w:tc>
      </w:tr>
      <w:tr>
        <w:trPr>
          <w:tblHeader w:val="false"/>
        </w:trPr>
        <w:tc>
          <w:tcPr>
            <w:tcW w:type="dxa" w:w="3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Art. 7  Rezyklatanteil (ab 01.01.2030 oder später)</w:t>
            </w:r>
          </w:p>
        </w:tc>
        <w:tc>
          <w:tcPr>
            <w:tcW w:type="dxa" w:w="1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nein</w:t>
            </w:r>
          </w:p>
        </w:tc>
        <w:tc>
          <w:tcPr>
            <w:tcW w:type="dxa" w:w="1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36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zur Information</w:t>
            </w:r>
          </w:p>
        </w:tc>
      </w:tr>
      <w:tr>
        <w:trPr>
          <w:tblHeader w:val="false"/>
        </w:trPr>
        <w:tc>
          <w:tcPr>
            <w:tcW w:type="dxa" w:w="3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Art. 9  Kompostierbarkeit (ab 12.02.2028)</w:t>
            </w:r>
          </w:p>
        </w:tc>
        <w:tc>
          <w:tcPr>
            <w:tcW w:type="dxa" w:w="1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nein</w:t>
            </w:r>
          </w:p>
        </w:tc>
        <w:tc>
          <w:tcPr>
            <w:tcW w:type="dxa" w:w="1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36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zur Information</w:t>
            </w:r>
          </w:p>
        </w:tc>
      </w:tr>
      <w:tr>
        <w:trPr>
          <w:tblHeader w:val="false"/>
        </w:trPr>
        <w:tc>
          <w:tcPr>
            <w:tcW w:type="dxa" w:w="3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Art. 10  Minimierung, Leerraum (ab 01.01.2030)</w:t>
            </w:r>
          </w:p>
        </w:tc>
        <w:tc>
          <w:tcPr>
            <w:tcW w:type="dxa" w:w="1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nein</w:t>
            </w:r>
          </w:p>
        </w:tc>
        <w:tc>
          <w:tcPr>
            <w:tcW w:type="dxa" w:w="1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36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zur Information</w:t>
            </w:r>
          </w:p>
        </w:tc>
      </w:tr>
      <w:tr>
        <w:trPr>
          <w:tblHeader w:val="false"/>
        </w:trPr>
        <w:tc>
          <w:tcPr>
            <w:tcW w:type="dxa" w:w="3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Art. 12  Harmonisierte Kennzeichnung (ab 12.08.2028 oder später)</w:t>
            </w:r>
          </w:p>
        </w:tc>
        <w:tc>
          <w:tcPr>
            <w:tcW w:type="dxa" w:w="1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nein</w:t>
            </w:r>
          </w:p>
        </w:tc>
        <w:tc>
          <w:tcPr>
            <w:tcW w:type="dxa" w:w="1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36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zur Information</w:t>
            </w:r>
          </w:p>
        </w:tc>
      </w:tr>
    </w:tbl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1F63B3"/>
          <w:sz w:val="24"/>
          <w:szCs w:val="24"/>
        </w:rPr>
        <w:t xml:space="preserve">2. Analyse und Bewertung der Risiken der Nichtkonformität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5C6672"/>
          <w:sz w:val="18"/>
          <w:szCs w:val="18"/>
        </w:rPr>
        <w:t xml:space="preserve">Je Komponente einschätzen, wie wahrscheinlich eine Überschreitung der Grenzwerte ist, und daraus den angemessenen Nachweis ableiten. Typische Risikotreiber: Druckfarben und Lacke, Recyclingmaterial, Metallteile, Beschichtungen, Lebensmittelkontakt.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300"/>
        <w:gridCol w:w="3338"/>
        <w:gridCol w:w="2800"/>
      </w:tblGrid>
      <w:tr>
        <w:trPr>
          <w:tblHeader/>
        </w:trPr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Komponente</w:t>
            </w:r>
          </w:p>
        </w:tc>
        <w:tc>
          <w:tcPr>
            <w:tcW w:type="dxa" w:w="1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Risiko</w:t>
            </w:r>
          </w:p>
        </w:tc>
        <w:tc>
          <w:tcPr>
            <w:tcW w:type="dxa" w:w="33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Begründung</w:t>
            </w:r>
          </w:p>
        </w:tc>
        <w:tc>
          <w:tcPr>
            <w:tcW w:type="dxa" w:w="28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Gewählter Nachweis</w:t>
            </w:r>
          </w:p>
        </w:tc>
      </w:tr>
      <w:tr>
        <w:trPr>
          <w:tblHeader w:val="false"/>
        </w:trPr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33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33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33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33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1F63B3"/>
          <w:sz w:val="24"/>
          <w:szCs w:val="24"/>
        </w:rPr>
        <w:t xml:space="preserve">3. Allgemeine Beschreibung der Verpackung und ihres Verwendungszwecks (Buchstabe a)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5C6672"/>
          <w:sz w:val="18"/>
          <w:szCs w:val="18"/>
        </w:rPr>
        <w:t xml:space="preserve">Verpackungskategorie, verpacktes Produkt, Funktion, Einweg oder Mehrweg, Lebensmittelkontakt, Kennzeichnung nach Art. 15 Abs. 5 und 6 (Kennung, Name, Anschrift, Kontaktmöglichkeit) mit Angabe, wo sie angebracht ist.</w:t>
      </w:r>
    </w:p>
    <w:p>
      <w:pPr>
        <w:spacing w:after="120" w:line="276"/>
      </w:pPr>
      <w:r>
        <w:rPr>
          <w:rFonts w:ascii="Arial" w:cs="Arial" w:eastAsia="Arial" w:hAnsi="Arial"/>
          <w:color w:val="15233B"/>
          <w:sz w:val="20"/>
          <w:szCs w:val="20"/>
        </w:rPr>
        <w:t xml:space="preserve">[Beschreibung]</w:t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1F63B3"/>
          <w:sz w:val="24"/>
          <w:szCs w:val="24"/>
        </w:rPr>
        <w:t xml:space="preserve">4. Entwürfe, Fertigungszeichnungen und Materialien der Bauteile (Buchstabe b)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5C6672"/>
          <w:sz w:val="18"/>
          <w:szCs w:val="18"/>
        </w:rPr>
        <w:t xml:space="preserve">Alle Komponenten der Verpackungseinheit einschließlich Druckfarben, Lacken, Klebstoffen und Etiketten. Zeichnungen und Spezifikationen als Anlagen.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900"/>
        <w:gridCol w:w="1100"/>
        <w:gridCol w:w="2000"/>
        <w:gridCol w:w="2438"/>
      </w:tblGrid>
      <w:tr>
        <w:trPr>
          <w:tblHeader/>
        </w:trPr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Komponente</w:t>
            </w:r>
          </w:p>
        </w:tc>
        <w:tc>
          <w:tcPr>
            <w:tcW w:type="dxa" w:w="19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Material / Spezifikation</w:t>
            </w:r>
          </w:p>
        </w:tc>
        <w:tc>
          <w:tcPr>
            <w:tcW w:type="dxa" w:w="11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Masse (g)</w:t>
            </w:r>
          </w:p>
        </w:tc>
        <w:tc>
          <w:tcPr>
            <w:tcW w:type="dxa" w:w="20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Lieferant, Artikel-Nr.</w:t>
            </w:r>
          </w:p>
        </w:tc>
        <w:tc>
          <w:tcPr>
            <w:tcW w:type="dxa" w:w="24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Anlage (Zeichnung, Datenblatt)</w:t>
            </w:r>
          </w:p>
        </w:tc>
      </w:tr>
      <w:tr>
        <w:trPr>
          <w:tblHeader w:val="false"/>
        </w:trPr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24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24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24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24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24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1F63B3"/>
          <w:sz w:val="24"/>
          <w:szCs w:val="24"/>
        </w:rPr>
        <w:t xml:space="preserve">5. Erläuterungen zu Zeichnungen, Plänen und Funktionsweise (Buchstabe c)</w:t>
      </w:r>
    </w:p>
    <w:p>
      <w:pPr>
        <w:spacing w:after="120" w:line="276"/>
      </w:pPr>
      <w:r>
        <w:rPr>
          <w:rFonts w:ascii="Arial" w:cs="Arial" w:eastAsia="Arial" w:hAnsi="Arial"/>
          <w:color w:val="15233B"/>
          <w:sz w:val="20"/>
          <w:szCs w:val="20"/>
        </w:rPr>
        <w:t xml:space="preserve">[Erläuterungen, soweit für das Verständnis nötig]</w:t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1F63B3"/>
          <w:sz w:val="24"/>
          <w:szCs w:val="24"/>
        </w:rPr>
        <w:t xml:space="preserve">6. Bewertung der Stoffanforderungen nach Artikel 5</w:t>
      </w:r>
    </w:p>
    <w:p>
      <w:pPr>
        <w:spacing w:after="120" w:line="276"/>
      </w:pPr>
      <w:r>
        <w:rPr>
          <w:rFonts w:ascii="Arial" w:cs="Arial" w:eastAsia="Arial" w:hAnsi="Arial"/>
          <w:b/>
          <w:bCs/>
          <w:color w:val="15233B"/>
          <w:sz w:val="20"/>
          <w:szCs w:val="20"/>
        </w:rPr>
        <w:t xml:space="preserve">6.1 Schwermetalle (Art. 5 Abs. 4)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5C6672"/>
          <w:sz w:val="18"/>
          <w:szCs w:val="18"/>
        </w:rPr>
        <w:t xml:space="preserve">Die Summe aus Blei, Cadmium, Quecksilber und Chrom VI bezieht sich auf die Verpackung samt Druckfarben, Lacken und Klebstoffen. Als Nachweisgrundlage Prüfbericht oder Lieferantenerklärung angeben; bei erhöhtem Risiko Prüfbericht.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500"/>
        <w:gridCol w:w="2200"/>
        <w:gridCol w:w="1900"/>
        <w:gridCol w:w="1838"/>
      </w:tblGrid>
      <w:tr>
        <w:trPr>
          <w:tblHeader/>
        </w:trPr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Komponente</w:t>
            </w:r>
          </w:p>
        </w:tc>
        <w:tc>
          <w:tcPr>
            <w:tcW w:type="dxa" w:w="15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Summe (mg/kg)</w:t>
            </w:r>
          </w:p>
        </w:tc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Nachweisgrundlage</w:t>
            </w:r>
          </w:p>
        </w:tc>
        <w:tc>
          <w:tcPr>
            <w:tcW w:type="dxa" w:w="19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Methode / Norm</w:t>
            </w:r>
          </w:p>
        </w:tc>
        <w:tc>
          <w:tcPr>
            <w:tcW w:type="dxa" w:w="18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Anlage, Datum</w:t>
            </w:r>
          </w:p>
        </w:tc>
      </w:tr>
      <w:tr>
        <w:trPr>
          <w:tblHeader w:val="false"/>
        </w:trPr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</w:tbl>
    <w:p>
      <w:pPr>
        <w:spacing w:after="120" w:line="276"/>
      </w:pPr>
      <w:r>
        <w:rPr>
          <w:rFonts w:ascii="Arial" w:cs="Arial" w:eastAsia="Arial" w:hAnsi="Arial"/>
          <w:b/>
          <w:bCs/>
          <w:color w:val="15233B"/>
          <w:sz w:val="20"/>
          <w:szCs w:val="20"/>
        </w:rPr>
        <w:t xml:space="preserve">6.2 PFAS bei Lebensmittelkontakt (Art. 5 Abs. 5)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5C6672"/>
          <w:sz w:val="18"/>
          <w:szCs w:val="18"/>
        </w:rPr>
        <w:t xml:space="preserve">Nur ausfüllen, wenn die Verpackung mit Lebensmitteln in Berührung kommt. Grenzwerte: 25 ppb je Einzel-PFAS, 250 ppb Summe, 50 ppm PFAS gesamt einschließlich polymerer PFAS. Übersteigt der Gesamtfluorgehalt 50 mg/kg, ist ein Nachweis zur Herkunft des Fluors erforderlich.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500"/>
        <w:gridCol w:w="2200"/>
        <w:gridCol w:w="1900"/>
        <w:gridCol w:w="1838"/>
      </w:tblGrid>
      <w:tr>
        <w:trPr>
          <w:tblHeader/>
        </w:trPr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Komponente</w:t>
            </w:r>
          </w:p>
        </w:tc>
        <w:tc>
          <w:tcPr>
            <w:tcW w:type="dxa" w:w="15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Ergebnis</w:t>
            </w:r>
          </w:p>
        </w:tc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Nachweisgrundlage</w:t>
            </w:r>
          </w:p>
        </w:tc>
        <w:tc>
          <w:tcPr>
            <w:tcW w:type="dxa" w:w="19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Methode</w:t>
            </w:r>
          </w:p>
        </w:tc>
        <w:tc>
          <w:tcPr>
            <w:tcW w:type="dxa" w:w="18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Anlage, Datum</w:t>
            </w:r>
          </w:p>
        </w:tc>
      </w:tr>
      <w:tr>
        <w:trPr>
          <w:tblHeader w:val="false"/>
        </w:trPr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</w:tbl>
    <w:p>
      <w:pPr>
        <w:spacing w:after="120" w:line="276"/>
      </w:pPr>
      <w:r>
        <w:rPr>
          <w:rFonts w:ascii="Arial" w:cs="Arial" w:eastAsia="Arial" w:hAnsi="Arial"/>
          <w:b/>
          <w:bCs/>
          <w:color w:val="15233B"/>
          <w:sz w:val="20"/>
          <w:szCs w:val="20"/>
        </w:rPr>
        <w:t xml:space="preserve">6.3 Minimierung besorgniserregender Stoffe (Art. 5 Abs. 1)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5C6672"/>
          <w:sz w:val="18"/>
          <w:szCs w:val="18"/>
        </w:rPr>
        <w:t xml:space="preserve">Kurz beschreiben, wie sichergestellt ist, dass besorgniserregende Stoffe in Material, Emissionen und Abfall minimiert sind, z. B. Lieferantenerklärungen zu REACH-SVHC, Auswahl von Druckfarben, Verzicht auf bestimmte Additive.</w:t>
      </w:r>
    </w:p>
    <w:p>
      <w:pPr>
        <w:spacing w:after="120" w:line="276"/>
      </w:pPr>
      <w:r>
        <w:rPr>
          <w:rFonts w:ascii="Arial" w:cs="Arial" w:eastAsia="Arial" w:hAnsi="Arial"/>
          <w:color w:val="15233B"/>
          <w:sz w:val="20"/>
          <w:szCs w:val="20"/>
        </w:rPr>
        <w:t xml:space="preserve">[Beschreibung]</w:t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1F63B3"/>
          <w:sz w:val="24"/>
          <w:szCs w:val="24"/>
        </w:rPr>
        <w:t xml:space="preserve">7. Qualitative Beschreibung der Bewertungen nach Artikel 6, 10 und 11 (Buchstabe e)</w:t>
      </w:r>
    </w:p>
    <w:p>
      <w:pPr>
        <w:spacing w:after="120" w:line="276"/>
      </w:pPr>
      <w:r>
        <w:rPr>
          <w:rFonts w:ascii="Arial" w:cs="Arial" w:eastAsia="Arial" w:hAnsi="Arial"/>
          <w:b/>
          <w:bCs/>
          <w:color w:val="15233B"/>
          <w:sz w:val="20"/>
          <w:szCs w:val="20"/>
        </w:rPr>
        <w:t xml:space="preserve">7.1 Recyclingfähigkeit (Art. 6 Abs. 1)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5C6672"/>
          <w:sz w:val="18"/>
          <w:szCs w:val="18"/>
        </w:rPr>
        <w:t xml:space="preserve">Bis zum Geltungsbeginn der Leistungsstufen nach Art. 6 Abs. 2 gilt die allgemeine Anforderung auf dem Niveau der Richtlinie 94/62/EG (Kommissionsleitfaden C/2026/3702). Materialkombination, Trennbarkeit und Störstoffe beschreiben; Materialanteile je Komponente für die spätere Bewertung erfassen.</w:t>
      </w:r>
    </w:p>
    <w:p>
      <w:pPr>
        <w:spacing w:after="120" w:line="276"/>
      </w:pPr>
      <w:r>
        <w:rPr>
          <w:rFonts w:ascii="Arial" w:cs="Arial" w:eastAsia="Arial" w:hAnsi="Arial"/>
          <w:color w:val="15233B"/>
          <w:sz w:val="20"/>
          <w:szCs w:val="20"/>
        </w:rPr>
        <w:t xml:space="preserve">[Beschreibung]</w:t>
      </w:r>
    </w:p>
    <w:p>
      <w:pPr>
        <w:spacing w:after="120" w:line="276"/>
      </w:pPr>
      <w:r>
        <w:rPr>
          <w:rFonts w:ascii="Arial" w:cs="Arial" w:eastAsia="Arial" w:hAnsi="Arial"/>
          <w:b/>
          <w:bCs/>
          <w:color w:val="15233B"/>
          <w:sz w:val="20"/>
          <w:szCs w:val="20"/>
        </w:rPr>
        <w:t xml:space="preserve">7.2 Verpackungsminimierung (Art. 10)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5C6672"/>
          <w:sz w:val="18"/>
          <w:szCs w:val="18"/>
        </w:rPr>
        <w:t xml:space="preserve">Gilt ab 01.01.2030. Bereits heute sinnvoll: Leerraum und Gewicht dokumentieren, damit die spätere Bewertung nachvollziehbar ist.</w:t>
      </w:r>
    </w:p>
    <w:p>
      <w:pPr>
        <w:spacing w:after="120" w:line="276"/>
      </w:pPr>
      <w:r>
        <w:rPr>
          <w:rFonts w:ascii="Arial" w:cs="Arial" w:eastAsia="Arial" w:hAnsi="Arial"/>
          <w:color w:val="15233B"/>
          <w:sz w:val="20"/>
          <w:szCs w:val="20"/>
        </w:rPr>
        <w:t xml:space="preserve">[Angaben, optional]</w:t>
      </w:r>
    </w:p>
    <w:p>
      <w:pPr>
        <w:spacing w:after="120" w:line="276"/>
      </w:pPr>
      <w:r>
        <w:rPr>
          <w:rFonts w:ascii="Arial" w:cs="Arial" w:eastAsia="Arial" w:hAnsi="Arial"/>
          <w:b/>
          <w:bCs/>
          <w:color w:val="15233B"/>
          <w:sz w:val="20"/>
          <w:szCs w:val="20"/>
        </w:rPr>
        <w:t xml:space="preserve">7.3 Wiederverwendbare Verpackungen (Art. 11)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5C6672"/>
          <w:sz w:val="18"/>
          <w:szCs w:val="18"/>
        </w:rPr>
        <w:t xml:space="preserve">Nur bei Mehrwegverpackungen: Auslegung auf mehrfache Umläufe, Reinigung, Reparatur, Kennzeichnung, Systembetrieb.</w:t>
      </w:r>
    </w:p>
    <w:p>
      <w:pPr>
        <w:spacing w:after="120" w:line="276"/>
      </w:pPr>
      <w:r>
        <w:rPr>
          <w:rFonts w:ascii="Arial" w:cs="Arial" w:eastAsia="Arial" w:hAnsi="Arial"/>
          <w:color w:val="15233B"/>
          <w:sz w:val="20"/>
          <w:szCs w:val="20"/>
        </w:rPr>
        <w:t xml:space="preserve">[Beschreibung oder: nicht anwendbar, Einwegverpackung]</w:t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1F63B3"/>
          <w:sz w:val="24"/>
          <w:szCs w:val="24"/>
        </w:rPr>
        <w:t xml:space="preserve">8. Normen, gemeinsame Spezifikationen und technische Spezifikationen (Buchstabe d)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5C6672"/>
          <w:sz w:val="18"/>
          <w:szCs w:val="18"/>
        </w:rPr>
        <w:t xml:space="preserve">Harmonisierte Normen zur PPWR sind noch nicht im Amtsblatt gelistet. Angewandte Mess- und Berechnungsmethoden nennen; wo keine Norm angewandt wurde, die gewählte Lösung beschreiben (Anhang VII Nr. 2 Buchst. d Ziffer v).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3238"/>
        <w:gridCol w:w="3000"/>
      </w:tblGrid>
      <w:tr>
        <w:trPr>
          <w:tblHeader/>
        </w:trPr>
        <w:tc>
          <w:tcPr>
            <w:tcW w:type="dxa" w:w="3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Norm / Spezifikation</w:t>
            </w:r>
          </w:p>
        </w:tc>
        <w:tc>
          <w:tcPr>
            <w:tcW w:type="dxa" w:w="32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Angewandt für</w:t>
            </w:r>
          </w:p>
        </w:tc>
        <w:tc>
          <w:tcPr>
            <w:tcW w:type="dxa" w:w="30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Vollständig oder in Teilen</w:t>
            </w:r>
          </w:p>
        </w:tc>
      </w:tr>
      <w:tr>
        <w:trPr>
          <w:tblHeader w:val="false"/>
        </w:trPr>
        <w:tc>
          <w:tcPr>
            <w:tcW w:type="dxa" w:w="3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CEN/CR 13695-1:2000</w:t>
            </w:r>
          </w:p>
        </w:tc>
        <w:tc>
          <w:tcPr>
            <w:tcW w:type="dxa" w:w="32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Bestimmung der Schwermetallgehalte</w:t>
            </w:r>
          </w:p>
        </w:tc>
        <w:tc>
          <w:tcPr>
            <w:tcW w:type="dxa" w:w="30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[…]</w:t>
            </w:r>
          </w:p>
        </w:tc>
      </w:tr>
      <w:tr>
        <w:trPr>
          <w:tblHeader w:val="false"/>
        </w:trPr>
        <w:tc>
          <w:tcPr>
            <w:tcW w:type="dxa" w:w="3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EN 13428:2004 (Orientierung, keine Konformitätsvermutung)</w:t>
            </w:r>
          </w:p>
        </w:tc>
        <w:tc>
          <w:tcPr>
            <w:tcW w:type="dxa" w:w="32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Minimierung, Verwertbarkeit</w:t>
            </w:r>
          </w:p>
        </w:tc>
        <w:tc>
          <w:tcPr>
            <w:tcW w:type="dxa" w:w="30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[…]</w:t>
            </w:r>
          </w:p>
        </w:tc>
      </w:tr>
      <w:tr>
        <w:trPr>
          <w:tblHeader w:val="false"/>
        </w:trPr>
        <w:tc>
          <w:tcPr>
            <w:tcW w:type="dxa" w:w="3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32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3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32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1F63B3"/>
          <w:sz w:val="24"/>
          <w:szCs w:val="24"/>
        </w:rPr>
        <w:t xml:space="preserve">9. Prüfberichte und Anlagenverzeichnis (Buchstabe f)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4238"/>
        <w:gridCol w:w="2400"/>
        <w:gridCol w:w="1800"/>
      </w:tblGrid>
      <w:tr>
        <w:trPr>
          <w:tblHeader/>
        </w:trPr>
        <w:tc>
          <w:tcPr>
            <w:tcW w:type="dxa" w:w="1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Anlage</w:t>
            </w:r>
          </w:p>
        </w:tc>
        <w:tc>
          <w:tcPr>
            <w:tcW w:type="dxa" w:w="42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Dokument</w:t>
            </w:r>
          </w:p>
        </w:tc>
        <w:tc>
          <w:tcPr>
            <w:tcW w:type="dxa" w:w="2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Aussteller</w:t>
            </w:r>
          </w:p>
        </w:tc>
        <w:tc>
          <w:tcPr>
            <w:tcW w:type="dxa" w:w="18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Datum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1</w:t>
            </w:r>
          </w:p>
        </w:tc>
        <w:tc>
          <w:tcPr>
            <w:tcW w:type="dxa" w:w="42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[Abbildung / Zeichnung der Verpackungseinheit]</w:t>
            </w:r>
          </w:p>
        </w:tc>
        <w:tc>
          <w:tcPr>
            <w:tcW w:type="dxa" w:w="2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2</w:t>
            </w:r>
          </w:p>
        </w:tc>
        <w:tc>
          <w:tcPr>
            <w:tcW w:type="dxa" w:w="42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[Lieferantenerklärung Schwermetalle, Komponente …]</w:t>
            </w:r>
          </w:p>
        </w:tc>
        <w:tc>
          <w:tcPr>
            <w:tcW w:type="dxa" w:w="2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3</w:t>
            </w:r>
          </w:p>
        </w:tc>
        <w:tc>
          <w:tcPr>
            <w:tcW w:type="dxa" w:w="42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[Prüfbericht …]</w:t>
            </w:r>
          </w:p>
        </w:tc>
        <w:tc>
          <w:tcPr>
            <w:tcW w:type="dxa" w:w="2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42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42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42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1F63B3"/>
          <w:sz w:val="24"/>
          <w:szCs w:val="24"/>
        </w:rPr>
        <w:t xml:space="preserve">10. Freigabe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5C6672"/>
          <w:sz w:val="18"/>
          <w:szCs w:val="18"/>
        </w:rPr>
        <w:t xml:space="preserve">Mit der Freigabe bestätigt der Erzeuger, dass Herstellungsprozess und Überwachung die Konformität mit dieser Dokumentation gewährleisten (Anhang VII Nr. 3) und dass die Konformitätserklärung auf dieser Dokumentation beruht.</w:t>
      </w:r>
    </w:p>
    <w:p>
      <w:pPr>
        <w:tabs>
          <w:tab w:val="right" w:pos="9638" w:leader="underscore"/>
        </w:tabs>
        <w:spacing w:after="60" w:before="200"/>
      </w:pPr>
      <w:r>
        <w:rPr>
          <w:rFonts w:ascii="Arial" w:cs="Arial" w:eastAsia="Arial" w:hAnsi="Arial"/>
          <w:color w:val="15233B"/>
          <w:sz w:val="20"/>
          <w:szCs w:val="20"/>
        </w:rPr>
        <w:t xml:space="preserve">Unterzeichnet für und im Namen von:  </w:t>
      </w:r>
      <w:r>
        <w:rPr>
          <w:rFonts w:ascii="Arial" w:cs="Arial" w:eastAsia="Arial" w:hAnsi="Arial"/>
        </w:rPr>
        <w:t xml:space="preserve">	</w:t>
      </w:r>
    </w:p>
    <w:p>
      <w:pPr>
        <w:tabs>
          <w:tab w:val="right" w:pos="9638" w:leader="underscore"/>
        </w:tabs>
        <w:spacing w:after="60" w:before="200"/>
      </w:pPr>
      <w:r>
        <w:rPr>
          <w:rFonts w:ascii="Arial" w:cs="Arial" w:eastAsia="Arial" w:hAnsi="Arial"/>
          <w:color w:val="15233B"/>
          <w:sz w:val="20"/>
          <w:szCs w:val="20"/>
        </w:rPr>
        <w:t xml:space="preserve">Ort und Datum der Ausstellung:  </w:t>
      </w:r>
      <w:r>
        <w:rPr>
          <w:rFonts w:ascii="Arial" w:cs="Arial" w:eastAsia="Arial" w:hAnsi="Arial"/>
        </w:rPr>
        <w:t xml:space="preserve">	</w:t>
      </w:r>
    </w:p>
    <w:p>
      <w:pPr>
        <w:tabs>
          <w:tab w:val="right" w:pos="9638" w:leader="underscore"/>
        </w:tabs>
        <w:spacing w:after="60" w:before="200"/>
      </w:pPr>
      <w:r>
        <w:rPr>
          <w:rFonts w:ascii="Arial" w:cs="Arial" w:eastAsia="Arial" w:hAnsi="Arial"/>
          <w:color w:val="15233B"/>
          <w:sz w:val="20"/>
          <w:szCs w:val="20"/>
        </w:rPr>
        <w:t xml:space="preserve">Name, Funktion:  </w:t>
      </w:r>
      <w:r>
        <w:rPr>
          <w:rFonts w:ascii="Arial" w:cs="Arial" w:eastAsia="Arial" w:hAnsi="Arial"/>
        </w:rPr>
        <w:t xml:space="preserve">	</w:t>
      </w:r>
    </w:p>
    <w:p>
      <w:pPr>
        <w:tabs>
          <w:tab w:val="right" w:pos="9638" w:leader="underscore"/>
        </w:tabs>
        <w:spacing w:after="60" w:before="200"/>
      </w:pPr>
      <w:r>
        <w:rPr>
          <w:rFonts w:ascii="Arial" w:cs="Arial" w:eastAsia="Arial" w:hAnsi="Arial"/>
          <w:color w:val="15233B"/>
          <w:sz w:val="20"/>
          <w:szCs w:val="20"/>
        </w:rPr>
        <w:t xml:space="preserve">Unterschrift:  </w:t>
      </w:r>
      <w:r>
        <w:rPr>
          <w:rFonts w:ascii="Arial" w:cs="Arial" w:eastAsia="Arial" w:hAnsi="Arial"/>
        </w:rPr>
        <w:t xml:space="preserve">	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D1DC" w:sz="4" w:space="4"/>
      </w:pBdr>
      <w:tabs>
        <w:tab w:val="right" w:pos="9638"/>
      </w:tabs>
    </w:pPr>
    <w:r>
      <w:rPr>
        <w:rFonts w:ascii="Arial" w:cs="Arial" w:eastAsia="Arial" w:hAnsi="Arial"/>
        <w:color w:val="5C6672"/>
        <w:sz w:val="14"/>
        <w:szCs w:val="14"/>
      </w:rPr>
      <w:t xml:space="preserve">Vorlage bereitgestellt von Polygon One GmbH, polygon-one.com. Stand September 2026. Keine Rechtsberatung. Inhalt und Ausstellung verantwortet der Erzeuger (Art. 39 Abs. 4 VO (EU) 2025/40).</w:t>
    </w:r>
    <w:r>
      <w:rPr>
        <w:rFonts w:ascii="Arial" w:cs="Arial" w:eastAsia="Arial" w:hAnsi="Arial"/>
      </w:rPr>
      <w:t xml:space="preserve">	</w:t>
    </w:r>
    <w:r>
      <w:rPr>
        <w:rFonts w:ascii="Arial" w:cs="Arial" w:eastAsia="Arial" w:hAnsi="Arial"/>
        <w:color w:val="5C6672"/>
        <w:sz w:val="14"/>
        <w:szCs w:val="14"/>
      </w:rPr>
      <w:t xml:space="preserve">Seite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D1DC" w:sz="4" w:space="4"/>
      </w:pBdr>
      <w:tabs>
        <w:tab w:val="right" w:pos="9638"/>
      </w:tabs>
      <w:spacing w:after="120"/>
    </w:pPr>
    <w:r>
      <w:rPr>
        <w:rFonts w:ascii="Arial" w:cs="Arial" w:eastAsia="Arial" w:hAnsi="Arial"/>
        <w:color w:val="5C6672"/>
        <w:sz w:val="16"/>
        <w:szCs w:val="16"/>
      </w:rPr>
      <w:t xml:space="preserve">Gliederung technische Dokumentation nach Anhang VII (Modul A) der Verordnung (EU) 2025/40</w:t>
    </w:r>
    <w:r>
      <w:rPr>
        <w:rFonts w:ascii="Arial" w:cs="Arial" w:eastAsia="Arial" w:hAnsi="Arial"/>
      </w:rPr>
      <w:t xml:space="preserve">	</w:t>
    </w:r>
    <w:r>
      <w:drawing>
        <wp:inline distT="0" distB="0" distL="0" distR="0">
          <wp:extent cx="914400" cy="128588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1285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4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5233B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cf7aa91b198ce0b46bce71dd75501b101bd0952c.jp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Gliederung technische Dokumentation nach Anhang VII (Modul A) der Verordnung (EU) 2025/40</dc:title>
  <dc:creator>Polygon One GmbH</dc:creator>
  <cp:lastModifiedBy>Un-named</cp:lastModifiedBy>
  <cp:revision>1</cp:revision>
  <dcterms:created xsi:type="dcterms:W3CDTF">2026-09-04T10:29:14.785Z</dcterms:created>
  <dcterms:modified xsi:type="dcterms:W3CDTF">2026-09-04T10:29:14.785Z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