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2"/>
          <w:szCs w:val="32"/>
        </w:rPr>
        <w:t xml:space="preserve">Technical documentation No. </w:t>
      </w:r>
      <w:r>
        <w:rPr>
          <w:rFonts w:ascii="Arial" w:cs="Arial" w:eastAsia="Arial" w:hAnsi="Arial"/>
          <w:b/>
          <w:bCs/>
          <w:color w:val="5C6672"/>
          <w:sz w:val="32"/>
          <w:szCs w:val="32"/>
        </w:rPr>
        <w:t xml:space="preserve">[TD-2026-0001]</w:t>
      </w:r>
    </w:p>
    <w:p>
      <w:pPr>
        <w:spacing w:after="160"/>
      </w:pPr>
      <w:r>
        <w:rPr>
          <w:rFonts w:ascii="Arial" w:cs="Arial" w:eastAsia="Arial" w:hAnsi="Arial"/>
          <w:i/>
          <w:iCs/>
          <w:color w:val="5C6672"/>
          <w:sz w:val="18"/>
          <w:szCs w:val="18"/>
        </w:rPr>
        <w:t xml:space="preserve">Conformity assessment under Article 38 and Annex VII, Module A (internal production control). The structure follows Annex VII point 2(a) to (f) and adds the analysis and assessment of the risks of non-conformity required there. Delete the italic notes when filling in. One documentation per packaging type.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Field</w:t>
            </w:r>
          </w:p>
        </w:tc>
        <w:tc>
          <w:tcPr>
            <w:tcW w:type="dxa" w:w="66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Entry</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Manufacturer (Art. 3(1)(13))</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[Company, address, contact person]</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Packaging type / packaging unit</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[Name, type, article number, identifier under Art. 15(5)]</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Packaging category</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[Sales, grouped, transport, service or primary production packaging; single use or reusable; food contact yes/no]</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Related declaration of conformity</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 DoC-…, date]</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Version and date</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[Version 1.0, DD Month YYYY]</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Responsible</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[Name, position]</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Retention until</w:t>
            </w:r>
          </w:p>
        </w:tc>
        <w:tc>
          <w:tcPr>
            <w:tcW w:type="dxa" w:w="6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[5 years from placing on the market, 10 years if reusable; Art. 15(3)]</w:t>
            </w:r>
          </w:p>
        </w:tc>
      </w:tr>
    </w:tbl>
    <w:p>
      <w:pPr>
        <w:pStyle w:val="Heading2"/>
        <w:spacing w:after="120" w:before="280"/>
      </w:pPr>
      <w:r>
        <w:rPr>
          <w:rFonts w:ascii="Arial" w:cs="Arial" w:eastAsia="Arial" w:hAnsi="Arial"/>
          <w:b/>
          <w:bCs/>
          <w:color w:val="1F63B3"/>
          <w:sz w:val="24"/>
          <w:szCs w:val="24"/>
        </w:rPr>
        <w:t xml:space="preserve">0. Change history</w:t>
      </w:r>
    </w:p>
    <w:p>
      <w:pPr>
        <w:spacing w:after="160"/>
      </w:pPr>
      <w:r>
        <w:rPr>
          <w:rFonts w:ascii="Arial" w:cs="Arial" w:eastAsia="Arial" w:hAnsi="Arial"/>
          <w:i/>
          <w:iCs/>
          <w:color w:val="5C6672"/>
          <w:sz w:val="18"/>
          <w:szCs w:val="18"/>
        </w:rPr>
        <w:t xml:space="preserve">Record every change of material, supplier, printing ink, adhesive or an underlying standard and check whether a new assessment is needed (Art. 15(4)).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1800"/>
        <w:gridCol w:w="4638"/>
        <w:gridCol w:w="1800"/>
      </w:tblGrid>
      <w:tr>
        <w:trPr>
          <w:tblHeader/>
        </w:trPr>
        <w:tc>
          <w:tcPr>
            <w:tcW w:type="dxa" w:w="1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Version</w:t>
            </w:r>
          </w:p>
        </w:tc>
        <w:tc>
          <w:tcPr>
            <w:tcW w:type="dxa" w:w="18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Date</w:t>
            </w:r>
          </w:p>
        </w:tc>
        <w:tc>
          <w:tcPr>
            <w:tcW w:type="dxa" w:w="46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Change</w:t>
            </w:r>
          </w:p>
        </w:tc>
        <w:tc>
          <w:tcPr>
            <w:tcW w:type="dxa" w:w="18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New assessment needed?</w:t>
            </w:r>
          </w:p>
        </w:tc>
      </w:tr>
      <w:tr>
        <w:trPr>
          <w:tblHeader w:val="false"/>
        </w:trPr>
        <w:tc>
          <w:tcPr>
            <w:tcW w:type="dxa" w:w="1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pStyle w:val="Heading2"/>
        <w:spacing w:after="120" w:before="280"/>
      </w:pPr>
      <w:r>
        <w:rPr>
          <w:rFonts w:ascii="Arial" w:cs="Arial" w:eastAsia="Arial" w:hAnsi="Arial"/>
          <w:b/>
          <w:bCs/>
          <w:color w:val="1F63B3"/>
          <w:sz w:val="24"/>
          <w:szCs w:val="24"/>
        </w:rPr>
        <w:t xml:space="preserve">1. Applicable requirements</w:t>
      </w:r>
    </w:p>
    <w:p>
      <w:pPr>
        <w:spacing w:after="160"/>
      </w:pPr>
      <w:r>
        <w:rPr>
          <w:rFonts w:ascii="Arial" w:cs="Arial" w:eastAsia="Arial" w:hAnsi="Arial"/>
          <w:i/>
          <w:iCs/>
          <w:color w:val="5C6672"/>
          <w:sz w:val="18"/>
          <w:szCs w:val="18"/>
        </w:rPr>
        <w:t xml:space="preserve">Annex VII point 2 requires the applicable requirements to be listed. Tick only requirements that apply when the packaging is placed on the market. As at September 2026 these are the following; the later requirements (Art. 6(2), 7, 9, 10, 12) are listed for 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300"/>
        <w:gridCol w:w="1300"/>
        <w:gridCol w:w="3638"/>
      </w:tblGrid>
      <w:tr>
        <w:trPr>
          <w:tblHeader/>
        </w:trPr>
        <w:tc>
          <w:tcPr>
            <w:tcW w:type="dxa" w:w="3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Requirement</w:t>
            </w:r>
          </w:p>
        </w:tc>
        <w:tc>
          <w:tcPr>
            <w:tcW w:type="dxa" w:w="13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Applicable</w:t>
            </w:r>
          </w:p>
        </w:tc>
        <w:tc>
          <w:tcPr>
            <w:tcW w:type="dxa" w:w="13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Met</w:t>
            </w:r>
          </w:p>
        </w:tc>
        <w:tc>
          <w:tcPr>
            <w:tcW w:type="dxa" w:w="36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Evidence in section / annex</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5(1)  Minimising substances of concern</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[6]</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5(4)  Pb, Cd, Hg, Cr VI combined max. 100 mg/kg</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[6.1, annexes …]</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5(5)  PFAS limits (food contact only)</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[6.2, annexes …]</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6(1)  Recyclability (general requirement)</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[7.1]</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11  Reusable packaging (reusable only)</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[7.3]</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15(5) and (6)  Identifier and manufacturer details on the packaging</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[yes/no]</w:t>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[3, annex figure]</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6(2)  Performance grades (from 1 January 2030 or later)</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for information</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7  Recycled content (from 1 January 2030 or later)</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for information</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9  Compostability (from 12 February 2028)</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for information</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10  Minimisation, empty space (from 1 January 2030)</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for information</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Art. 12  Harmonised labelling (from 12 August 2028 or later)</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w:t>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for information</w:t>
            </w:r>
          </w:p>
        </w:tc>
      </w:tr>
    </w:tbl>
    <w:p>
      <w:pPr>
        <w:pStyle w:val="Heading2"/>
        <w:spacing w:after="120" w:before="280"/>
      </w:pPr>
      <w:r>
        <w:rPr>
          <w:rFonts w:ascii="Arial" w:cs="Arial" w:eastAsia="Arial" w:hAnsi="Arial"/>
          <w:b/>
          <w:bCs/>
          <w:color w:val="1F63B3"/>
          <w:sz w:val="24"/>
          <w:szCs w:val="24"/>
        </w:rPr>
        <w:t xml:space="preserve">2. Analysis and assessment of the risks of non-conformity</w:t>
      </w:r>
    </w:p>
    <w:p>
      <w:pPr>
        <w:spacing w:after="160"/>
      </w:pPr>
      <w:r>
        <w:rPr>
          <w:rFonts w:ascii="Arial" w:cs="Arial" w:eastAsia="Arial" w:hAnsi="Arial"/>
          <w:i/>
          <w:iCs/>
          <w:color w:val="5C6672"/>
          <w:sz w:val="18"/>
          <w:szCs w:val="18"/>
        </w:rPr>
        <w:t xml:space="preserve">For each component, assess how likely the limits are to be exceeded and derive the appropriate evidence from this. Typical risk drivers: printing inks and varnishes, recycled material, metal parts, coatings, food contact.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3338"/>
        <w:gridCol w:w="2800"/>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Component</w:t>
            </w:r>
          </w:p>
        </w:tc>
        <w:tc>
          <w:tcPr>
            <w:tcW w:type="dxa" w:w="13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Risk</w:t>
            </w:r>
          </w:p>
        </w:tc>
        <w:tc>
          <w:tcPr>
            <w:tcW w:type="dxa" w:w="33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Reasoning</w:t>
            </w:r>
          </w:p>
        </w:tc>
        <w:tc>
          <w:tcPr>
            <w:tcW w:type="dxa" w:w="28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Evidence chosen</w:t>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3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3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3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3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3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pStyle w:val="Heading2"/>
        <w:spacing w:after="120" w:before="280"/>
      </w:pPr>
      <w:r>
        <w:rPr>
          <w:rFonts w:ascii="Arial" w:cs="Arial" w:eastAsia="Arial" w:hAnsi="Arial"/>
          <w:b/>
          <w:bCs/>
          <w:color w:val="1F63B3"/>
          <w:sz w:val="24"/>
          <w:szCs w:val="24"/>
        </w:rPr>
        <w:t xml:space="preserve">3. General description of the packaging and its intended use (point (a))</w:t>
      </w:r>
    </w:p>
    <w:p>
      <w:pPr>
        <w:spacing w:after="160"/>
      </w:pPr>
      <w:r>
        <w:rPr>
          <w:rFonts w:ascii="Arial" w:cs="Arial" w:eastAsia="Arial" w:hAnsi="Arial"/>
          <w:i/>
          <w:iCs/>
          <w:color w:val="5C6672"/>
          <w:sz w:val="18"/>
          <w:szCs w:val="18"/>
        </w:rPr>
        <w:t xml:space="preserve">Packaging category, packed product, function, single use or reusable, food contact, labelling under Art. 15(5) and (6) (identifier, name, address, contact details), stating where it is applied.</w:t>
      </w:r>
    </w:p>
    <w:p>
      <w:pPr>
        <w:spacing w:after="120" w:line="276"/>
      </w:pPr>
      <w:r>
        <w:rPr>
          <w:rFonts w:ascii="Arial" w:cs="Arial" w:eastAsia="Arial" w:hAnsi="Arial"/>
          <w:color w:val="15233B"/>
          <w:sz w:val="20"/>
          <w:szCs w:val="20"/>
        </w:rPr>
        <w:t xml:space="preserve">[Description]</w:t>
      </w:r>
    </w:p>
    <w:p>
      <w:pPr>
        <w:pStyle w:val="Heading2"/>
        <w:spacing w:after="120" w:before="280"/>
      </w:pPr>
      <w:r>
        <w:rPr>
          <w:rFonts w:ascii="Arial" w:cs="Arial" w:eastAsia="Arial" w:hAnsi="Arial"/>
          <w:b/>
          <w:bCs/>
          <w:color w:val="1F63B3"/>
          <w:sz w:val="24"/>
          <w:szCs w:val="24"/>
        </w:rPr>
        <w:t xml:space="preserve">4. Designs, manufacturing drawings and materials of the components (point (b))</w:t>
      </w:r>
    </w:p>
    <w:p>
      <w:pPr>
        <w:spacing w:after="160"/>
      </w:pPr>
      <w:r>
        <w:rPr>
          <w:rFonts w:ascii="Arial" w:cs="Arial" w:eastAsia="Arial" w:hAnsi="Arial"/>
          <w:i/>
          <w:iCs/>
          <w:color w:val="5C6672"/>
          <w:sz w:val="18"/>
          <w:szCs w:val="18"/>
        </w:rPr>
        <w:t xml:space="preserve">All components of the packaging unit including printing inks, varnishes, adhesives and labels. Drawings and specifications as annexes.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900"/>
        <w:gridCol w:w="1100"/>
        <w:gridCol w:w="2000"/>
        <w:gridCol w:w="2438"/>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Component</w:t>
            </w:r>
          </w:p>
        </w:tc>
        <w:tc>
          <w:tcPr>
            <w:tcW w:type="dxa" w:w="19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Material / specification</w:t>
            </w:r>
          </w:p>
        </w:tc>
        <w:tc>
          <w:tcPr>
            <w:tcW w:type="dxa" w:w="11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Mass (g)</w:t>
            </w:r>
          </w:p>
        </w:tc>
        <w:tc>
          <w:tcPr>
            <w:tcW w:type="dxa" w:w="2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Supplier, article no.</w:t>
            </w:r>
          </w:p>
        </w:tc>
        <w:tc>
          <w:tcPr>
            <w:tcW w:type="dxa" w:w="24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Annex (drawing, data sheet)</w:t>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pStyle w:val="Heading2"/>
        <w:spacing w:after="120" w:before="280"/>
      </w:pPr>
      <w:r>
        <w:rPr>
          <w:rFonts w:ascii="Arial" w:cs="Arial" w:eastAsia="Arial" w:hAnsi="Arial"/>
          <w:b/>
          <w:bCs/>
          <w:color w:val="1F63B3"/>
          <w:sz w:val="24"/>
          <w:szCs w:val="24"/>
        </w:rPr>
        <w:t xml:space="preserve">5. Explanations of drawings, schemes and operation (point (c))</w:t>
      </w:r>
    </w:p>
    <w:p>
      <w:pPr>
        <w:spacing w:after="120" w:line="276"/>
      </w:pPr>
      <w:r>
        <w:rPr>
          <w:rFonts w:ascii="Arial" w:cs="Arial" w:eastAsia="Arial" w:hAnsi="Arial"/>
          <w:color w:val="15233B"/>
          <w:sz w:val="20"/>
          <w:szCs w:val="20"/>
        </w:rPr>
        <w:t xml:space="preserve">[Explanations as far as needed for understanding]</w:t>
      </w:r>
    </w:p>
    <w:p>
      <w:pPr>
        <w:pStyle w:val="Heading2"/>
        <w:spacing w:after="120" w:before="280"/>
      </w:pPr>
      <w:r>
        <w:rPr>
          <w:rFonts w:ascii="Arial" w:cs="Arial" w:eastAsia="Arial" w:hAnsi="Arial"/>
          <w:b/>
          <w:bCs/>
          <w:color w:val="1F63B3"/>
          <w:sz w:val="24"/>
          <w:szCs w:val="24"/>
        </w:rPr>
        <w:t xml:space="preserve">6. Assessment of substance requirements under Article 5</w:t>
      </w:r>
    </w:p>
    <w:p>
      <w:pPr>
        <w:spacing w:after="120" w:line="276"/>
      </w:pPr>
      <w:r>
        <w:rPr>
          <w:rFonts w:ascii="Arial" w:cs="Arial" w:eastAsia="Arial" w:hAnsi="Arial"/>
          <w:b/>
          <w:bCs/>
          <w:color w:val="15233B"/>
          <w:sz w:val="20"/>
          <w:szCs w:val="20"/>
        </w:rPr>
        <w:t xml:space="preserve">6.1 Heavy metals (Art. 5(4))</w:t>
      </w:r>
    </w:p>
    <w:p>
      <w:pPr>
        <w:spacing w:after="160"/>
      </w:pPr>
      <w:r>
        <w:rPr>
          <w:rFonts w:ascii="Arial" w:cs="Arial" w:eastAsia="Arial" w:hAnsi="Arial"/>
          <w:i/>
          <w:iCs/>
          <w:color w:val="5C6672"/>
          <w:sz w:val="18"/>
          <w:szCs w:val="18"/>
        </w:rPr>
        <w:t xml:space="preserve">The sum of lead, cadmium, mercury and chromium VI relates to the packaging including printing inks, varnishes and adhesives. State a test report or supplier declaration as the basis of evidence; test report where the risk is elevated.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2200"/>
        <w:gridCol w:w="1900"/>
        <w:gridCol w:w="1838"/>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Component</w:t>
            </w:r>
          </w:p>
        </w:tc>
        <w:tc>
          <w:tcPr>
            <w:tcW w:type="dxa" w:w="15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Sum (mg/kg)</w:t>
            </w:r>
          </w:p>
        </w:tc>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Basis of evidence</w:t>
            </w:r>
          </w:p>
        </w:tc>
        <w:tc>
          <w:tcPr>
            <w:tcW w:type="dxa" w:w="19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Method / standard</w:t>
            </w:r>
          </w:p>
        </w:tc>
        <w:tc>
          <w:tcPr>
            <w:tcW w:type="dxa" w:w="18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Annex, date</w:t>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spacing w:after="120" w:line="276"/>
      </w:pPr>
      <w:r>
        <w:rPr>
          <w:rFonts w:ascii="Arial" w:cs="Arial" w:eastAsia="Arial" w:hAnsi="Arial"/>
          <w:b/>
          <w:bCs/>
          <w:color w:val="15233B"/>
          <w:sz w:val="20"/>
          <w:szCs w:val="20"/>
        </w:rPr>
        <w:t xml:space="preserve">6.2 PFAS in food contact (Art. 5(5))</w:t>
      </w:r>
    </w:p>
    <w:p>
      <w:pPr>
        <w:spacing w:after="160"/>
      </w:pPr>
      <w:r>
        <w:rPr>
          <w:rFonts w:ascii="Arial" w:cs="Arial" w:eastAsia="Arial" w:hAnsi="Arial"/>
          <w:i/>
          <w:iCs/>
          <w:color w:val="5C6672"/>
          <w:sz w:val="18"/>
          <w:szCs w:val="18"/>
        </w:rPr>
        <w:t xml:space="preserve">Complete only if the packaging comes into contact with food. Limits: 25 ppb per individual PFAS, 250 ppb sum, 50 ppm total PFAS including polymeric PFAS. If total fluorine exceeds 50 mg/kg, evidence on the origin of the fluorine is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2200"/>
        <w:gridCol w:w="1900"/>
        <w:gridCol w:w="1838"/>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Component</w:t>
            </w:r>
          </w:p>
        </w:tc>
        <w:tc>
          <w:tcPr>
            <w:tcW w:type="dxa" w:w="15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Result</w:t>
            </w:r>
          </w:p>
        </w:tc>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Basis of evidence</w:t>
            </w:r>
          </w:p>
        </w:tc>
        <w:tc>
          <w:tcPr>
            <w:tcW w:type="dxa" w:w="19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Method</w:t>
            </w:r>
          </w:p>
        </w:tc>
        <w:tc>
          <w:tcPr>
            <w:tcW w:type="dxa" w:w="18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Annex, date</w:t>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5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9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spacing w:after="120" w:line="276"/>
      </w:pPr>
      <w:r>
        <w:rPr>
          <w:rFonts w:ascii="Arial" w:cs="Arial" w:eastAsia="Arial" w:hAnsi="Arial"/>
          <w:b/>
          <w:bCs/>
          <w:color w:val="15233B"/>
          <w:sz w:val="20"/>
          <w:szCs w:val="20"/>
        </w:rPr>
        <w:t xml:space="preserve">6.3 Minimising substances of concern (Art. 5(1))</w:t>
      </w:r>
    </w:p>
    <w:p>
      <w:pPr>
        <w:spacing w:after="160"/>
      </w:pPr>
      <w:r>
        <w:rPr>
          <w:rFonts w:ascii="Arial" w:cs="Arial" w:eastAsia="Arial" w:hAnsi="Arial"/>
          <w:i/>
          <w:iCs/>
          <w:color w:val="5C6672"/>
          <w:sz w:val="18"/>
          <w:szCs w:val="18"/>
        </w:rPr>
        <w:t xml:space="preserve">Briefly describe how substances of concern in material, emissions and waste are kept to a minimum, e.g. supplier declarations on REACH SVHC, choice of printing inks, avoiding certain additives.</w:t>
      </w:r>
    </w:p>
    <w:p>
      <w:pPr>
        <w:spacing w:after="120" w:line="276"/>
      </w:pPr>
      <w:r>
        <w:rPr>
          <w:rFonts w:ascii="Arial" w:cs="Arial" w:eastAsia="Arial" w:hAnsi="Arial"/>
          <w:color w:val="15233B"/>
          <w:sz w:val="20"/>
          <w:szCs w:val="20"/>
        </w:rPr>
        <w:t xml:space="preserve">[Description]</w:t>
      </w:r>
    </w:p>
    <w:p>
      <w:pPr>
        <w:pStyle w:val="Heading2"/>
        <w:spacing w:after="120" w:before="280"/>
      </w:pPr>
      <w:r>
        <w:rPr>
          <w:rFonts w:ascii="Arial" w:cs="Arial" w:eastAsia="Arial" w:hAnsi="Arial"/>
          <w:b/>
          <w:bCs/>
          <w:color w:val="1F63B3"/>
          <w:sz w:val="24"/>
          <w:szCs w:val="24"/>
        </w:rPr>
        <w:t xml:space="preserve">7. Qualitative description of the assessments under Articles 6, 10 and 11 (point (e))</w:t>
      </w:r>
    </w:p>
    <w:p>
      <w:pPr>
        <w:spacing w:after="120" w:line="276"/>
      </w:pPr>
      <w:r>
        <w:rPr>
          <w:rFonts w:ascii="Arial" w:cs="Arial" w:eastAsia="Arial" w:hAnsi="Arial"/>
          <w:b/>
          <w:bCs/>
          <w:color w:val="15233B"/>
          <w:sz w:val="20"/>
          <w:szCs w:val="20"/>
        </w:rPr>
        <w:t xml:space="preserve">7.1 Recyclability (Art. 6(1))</w:t>
      </w:r>
    </w:p>
    <w:p>
      <w:pPr>
        <w:spacing w:after="160"/>
      </w:pPr>
      <w:r>
        <w:rPr>
          <w:rFonts w:ascii="Arial" w:cs="Arial" w:eastAsia="Arial" w:hAnsi="Arial"/>
          <w:i/>
          <w:iCs/>
          <w:color w:val="5C6672"/>
          <w:sz w:val="18"/>
          <w:szCs w:val="18"/>
        </w:rPr>
        <w:t xml:space="preserve">Until the performance grades under Art. 6(2) apply, the general requirement applies at the level of Directive 94/62/EC (Commission guidance C/2026/3702). Describe material combination, separability and disruptors; record material shares per component for the later assessment.</w:t>
      </w:r>
    </w:p>
    <w:p>
      <w:pPr>
        <w:spacing w:after="120" w:line="276"/>
      </w:pPr>
      <w:r>
        <w:rPr>
          <w:rFonts w:ascii="Arial" w:cs="Arial" w:eastAsia="Arial" w:hAnsi="Arial"/>
          <w:color w:val="15233B"/>
          <w:sz w:val="20"/>
          <w:szCs w:val="20"/>
        </w:rPr>
        <w:t xml:space="preserve">[Description]</w:t>
      </w:r>
    </w:p>
    <w:p>
      <w:pPr>
        <w:spacing w:after="120" w:line="276"/>
      </w:pPr>
      <w:r>
        <w:rPr>
          <w:rFonts w:ascii="Arial" w:cs="Arial" w:eastAsia="Arial" w:hAnsi="Arial"/>
          <w:b/>
          <w:bCs/>
          <w:color w:val="15233B"/>
          <w:sz w:val="20"/>
          <w:szCs w:val="20"/>
        </w:rPr>
        <w:t xml:space="preserve">7.2 Packaging minimisation (Art. 10)</w:t>
      </w:r>
    </w:p>
    <w:p>
      <w:pPr>
        <w:spacing w:after="160"/>
      </w:pPr>
      <w:r>
        <w:rPr>
          <w:rFonts w:ascii="Arial" w:cs="Arial" w:eastAsia="Arial" w:hAnsi="Arial"/>
          <w:i/>
          <w:iCs/>
          <w:color w:val="5C6672"/>
          <w:sz w:val="18"/>
          <w:szCs w:val="18"/>
        </w:rPr>
        <w:t xml:space="preserve">Applies from 1 January 2030. Already useful today: document empty space and weight so the later assessment is traceable.</w:t>
      </w:r>
    </w:p>
    <w:p>
      <w:pPr>
        <w:spacing w:after="120" w:line="276"/>
      </w:pPr>
      <w:r>
        <w:rPr>
          <w:rFonts w:ascii="Arial" w:cs="Arial" w:eastAsia="Arial" w:hAnsi="Arial"/>
          <w:color w:val="15233B"/>
          <w:sz w:val="20"/>
          <w:szCs w:val="20"/>
        </w:rPr>
        <w:t xml:space="preserve">[Details, optional]</w:t>
      </w:r>
    </w:p>
    <w:p>
      <w:pPr>
        <w:spacing w:after="120" w:line="276"/>
      </w:pPr>
      <w:r>
        <w:rPr>
          <w:rFonts w:ascii="Arial" w:cs="Arial" w:eastAsia="Arial" w:hAnsi="Arial"/>
          <w:b/>
          <w:bCs/>
          <w:color w:val="15233B"/>
          <w:sz w:val="20"/>
          <w:szCs w:val="20"/>
        </w:rPr>
        <w:t xml:space="preserve">7.3 Reusable packaging (Art. 11)</w:t>
      </w:r>
    </w:p>
    <w:p>
      <w:pPr>
        <w:spacing w:after="160"/>
      </w:pPr>
      <w:r>
        <w:rPr>
          <w:rFonts w:ascii="Arial" w:cs="Arial" w:eastAsia="Arial" w:hAnsi="Arial"/>
          <w:i/>
          <w:iCs/>
          <w:color w:val="5C6672"/>
          <w:sz w:val="18"/>
          <w:szCs w:val="18"/>
        </w:rPr>
        <w:t xml:space="preserve">Reusable packaging only: design for multiple rotations, cleaning, repair, labelling, system operation.</w:t>
      </w:r>
    </w:p>
    <w:p>
      <w:pPr>
        <w:spacing w:after="120" w:line="276"/>
      </w:pPr>
      <w:r>
        <w:rPr>
          <w:rFonts w:ascii="Arial" w:cs="Arial" w:eastAsia="Arial" w:hAnsi="Arial"/>
          <w:color w:val="15233B"/>
          <w:sz w:val="20"/>
          <w:szCs w:val="20"/>
        </w:rPr>
        <w:t xml:space="preserve">[Description or: not applicable, single-use packaging]</w:t>
      </w:r>
    </w:p>
    <w:p>
      <w:pPr>
        <w:pStyle w:val="Heading2"/>
        <w:spacing w:after="120" w:before="280"/>
      </w:pPr>
      <w:r>
        <w:rPr>
          <w:rFonts w:ascii="Arial" w:cs="Arial" w:eastAsia="Arial" w:hAnsi="Arial"/>
          <w:b/>
          <w:bCs/>
          <w:color w:val="1F63B3"/>
          <w:sz w:val="24"/>
          <w:szCs w:val="24"/>
        </w:rPr>
        <w:t xml:space="preserve">8. Standards, common specifications and technical specifications (point (d))</w:t>
      </w:r>
    </w:p>
    <w:p>
      <w:pPr>
        <w:spacing w:after="160"/>
      </w:pPr>
      <w:r>
        <w:rPr>
          <w:rFonts w:ascii="Arial" w:cs="Arial" w:eastAsia="Arial" w:hAnsi="Arial"/>
          <w:i/>
          <w:iCs/>
          <w:color w:val="5C6672"/>
          <w:sz w:val="18"/>
          <w:szCs w:val="18"/>
        </w:rPr>
        <w:t xml:space="preserve">Harmonised standards for the PPWR are not yet listed in the Official Journal. Name the measurement and calculation methods applied; where no standard was applied, describe the solution chosen (Annex VII point 2(d)(v)).</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3238"/>
        <w:gridCol w:w="3000"/>
      </w:tblGrid>
      <w:tr>
        <w:trPr>
          <w:tblHeader/>
        </w:trPr>
        <w:tc>
          <w:tcPr>
            <w:tcW w:type="dxa" w:w="3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Standard / specification</w:t>
            </w:r>
          </w:p>
        </w:tc>
        <w:tc>
          <w:tcPr>
            <w:tcW w:type="dxa" w:w="32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Applied for</w:t>
            </w:r>
          </w:p>
        </w:tc>
        <w:tc>
          <w:tcPr>
            <w:tcW w:type="dxa" w:w="3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In full or in part</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CEN/CR 13695-1:2000</w:t>
            </w:r>
          </w:p>
        </w:tc>
        <w:tc>
          <w:tcPr>
            <w:tcW w:type="dxa" w:w="3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Determination of heavy metal content</w:t>
            </w:r>
          </w:p>
        </w:tc>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EN 13428:2004 (guidance, no presumption of conformity)</w:t>
            </w:r>
          </w:p>
        </w:tc>
        <w:tc>
          <w:tcPr>
            <w:tcW w:type="dxa" w:w="3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Minimisation, recoverability</w:t>
            </w:r>
          </w:p>
        </w:tc>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pStyle w:val="Heading2"/>
        <w:spacing w:after="120" w:before="280"/>
      </w:pPr>
      <w:r>
        <w:rPr>
          <w:rFonts w:ascii="Arial" w:cs="Arial" w:eastAsia="Arial" w:hAnsi="Arial"/>
          <w:b/>
          <w:bCs/>
          <w:color w:val="1F63B3"/>
          <w:sz w:val="24"/>
          <w:szCs w:val="24"/>
        </w:rPr>
        <w:t xml:space="preserve">9. Test reports and list of annexes (point (f))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238"/>
        <w:gridCol w:w="2400"/>
        <w:gridCol w:w="1800"/>
      </w:tblGrid>
      <w:tr>
        <w:trPr>
          <w:tblHeader/>
        </w:trPr>
        <w:tc>
          <w:tcPr>
            <w:tcW w:type="dxa" w:w="1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Annex</w:t>
            </w:r>
          </w:p>
        </w:tc>
        <w:tc>
          <w:tcPr>
            <w:tcW w:type="dxa" w:w="42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Document</w:t>
            </w:r>
          </w:p>
        </w:tc>
        <w:tc>
          <w:tcPr>
            <w:tcW w:type="dxa" w:w="2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Issuer</w:t>
            </w:r>
          </w:p>
        </w:tc>
        <w:tc>
          <w:tcPr>
            <w:tcW w:type="dxa" w:w="18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Date</w:t>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1</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[Figure / drawing of the packaging unit]</w:t>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2</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[Supplier declaration heavy metals, component …]</w:t>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3</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[Test report …]</w:t>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r>
        <w:trPr>
          <w:tblHeader w:val="false"/>
        </w:trPr>
        <w:tc>
          <w:tcPr>
            <w:tcW w:type="dxa" w:w="1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2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c>
          <w:tcPr>
            <w:tcW w:type="dxa" w:w="18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
            </w:r>
          </w:p>
        </w:tc>
      </w:tr>
    </w:tbl>
    <w:p>
      <w:pPr>
        <w:pStyle w:val="Heading2"/>
        <w:spacing w:after="120" w:before="280"/>
      </w:pPr>
      <w:r>
        <w:rPr>
          <w:rFonts w:ascii="Arial" w:cs="Arial" w:eastAsia="Arial" w:hAnsi="Arial"/>
          <w:b/>
          <w:bCs/>
          <w:color w:val="1F63B3"/>
          <w:sz w:val="24"/>
          <w:szCs w:val="24"/>
        </w:rPr>
        <w:t xml:space="preserve">10. Release</w:t>
      </w:r>
    </w:p>
    <w:p>
      <w:pPr>
        <w:spacing w:after="160"/>
      </w:pPr>
      <w:r>
        <w:rPr>
          <w:rFonts w:ascii="Arial" w:cs="Arial" w:eastAsia="Arial" w:hAnsi="Arial"/>
          <w:i/>
          <w:iCs/>
          <w:color w:val="5C6672"/>
          <w:sz w:val="18"/>
          <w:szCs w:val="18"/>
        </w:rPr>
        <w:t xml:space="preserve">With the release the manufacturer confirms that the manufacturing process and its monitoring ensure conformity with this documentation (Annex VII point 3) and that the declaration of conformity is based on this documentation.</w:t>
      </w:r>
    </w:p>
    <w:p>
      <w:pPr>
        <w:tabs>
          <w:tab w:val="right" w:pos="9638" w:leader="underscore"/>
        </w:tabs>
        <w:spacing w:after="60" w:before="200"/>
      </w:pPr>
      <w:r>
        <w:rPr>
          <w:rFonts w:ascii="Arial" w:cs="Arial" w:eastAsia="Arial" w:hAnsi="Arial"/>
          <w:color w:val="15233B"/>
          <w:sz w:val="20"/>
          <w:szCs w:val="20"/>
        </w:rPr>
        <w:t xml:space="preserve">Signed for and on behalf of: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Place and date of issue: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Name, position: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Signature:  </w:t>
      </w:r>
      <w:r>
        <w:rPr>
          <w:rFonts w:ascii="Arial" w:cs="Arial" w:eastAsia="Arial" w:hAnsi="Arial"/>
        </w:rPr>
        <w:t xml:space="preserve">	</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9638"/>
      </w:tabs>
    </w:pPr>
    <w:r>
      <w:rPr>
        <w:rFonts w:ascii="Arial" w:cs="Arial" w:eastAsia="Arial" w:hAnsi="Arial"/>
        <w:color w:val="5C6672"/>
        <w:sz w:val="14"/>
        <w:szCs w:val="14"/>
      </w:rPr>
      <w:t xml:space="preserve">Template provided by Polygon One GmbH, polygon-one.com. As at September 2026. Not legal advice. The manufacturer is responsible for content and issuance (Art. 39(4) Regulation (EU) 2025/40).</w:t>
    </w:r>
    <w:r>
      <w:rPr>
        <w:rFonts w:ascii="Arial" w:cs="Arial" w:eastAsia="Arial" w:hAnsi="Arial"/>
      </w:rPr>
      <w:t xml:space="preserve">	</w:t>
    </w:r>
    <w:r>
      <w:rPr>
        <w:rFonts w:ascii="Arial" w:cs="Arial" w:eastAsia="Arial" w:hAnsi="Arial"/>
        <w:color w:val="5C6672"/>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9638"/>
      </w:tabs>
      <w:spacing w:after="120"/>
    </w:pPr>
    <w:r>
      <w:rPr>
        <w:rFonts w:ascii="Arial" w:cs="Arial" w:eastAsia="Arial" w:hAnsi="Arial"/>
        <w:color w:val="5C6672"/>
        <w:sz w:val="16"/>
        <w:szCs w:val="16"/>
      </w:rPr>
      <w:t xml:space="preserve">Technical documentation structure under Annex VII (Module A) of Regulation (EU) 2025/40</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Gliederung technische Dokumentation nach Anhang VII (Modul A) der Verordnung (EU) 2025/40</dc:title>
  <dc:creator>Polygon One GmbH</dc:creator>
  <cp:lastModifiedBy>Un-named</cp:lastModifiedBy>
  <cp:revision>1</cp:revision>
  <dcterms:created xsi:type="dcterms:W3CDTF">2026-09-04T10:29:14.785Z</dcterms:created>
  <dcterms:modified xsi:type="dcterms:W3CDTF">2026-09-04T10:29:14.785Z</dcterms:modified>
</cp:coreProperties>
</file>

<file path=docProps/custom.xml><?xml version="1.0" encoding="utf-8"?>
<Properties xmlns="http://schemas.openxmlformats.org/officeDocument/2006/custom-properties" xmlns:vt="http://schemas.openxmlformats.org/officeDocument/2006/docPropsVTypes"/>
</file>