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15233B"/>
          <w:sz w:val="32"/>
          <w:szCs w:val="32"/>
        </w:rPr>
        <w:t xml:space="preserve">PPWR labelling: roadmap and checklist</w:t>
      </w:r>
    </w:p>
    <w:p>
      <w:pPr>
        <w:spacing w:after="160"/>
      </w:pPr>
      <w:r>
        <w:rPr>
          <w:rFonts w:ascii="Arial" w:cs="Arial" w:eastAsia="Arial" w:hAnsi="Arial"/>
          <w:i/>
          <w:iCs/>
          <w:color w:val="5C6672"/>
          <w:sz w:val="18"/>
          <w:szCs w:val="18"/>
        </w:rPr>
        <w:t xml:space="preserve">What must go on the packaging when, what is already no longer allowed, and how to check the Article 15 and 18 information per packaging. Basis: Regulation (EU) 2025/40, Commission guidance C/2026/3702, Commission FAQ 2nd edition (August 2026), VerpackDG.</w:t>
      </w:r>
    </w:p>
    <w:p>
      <w:pPr>
        <w:pStyle w:val="Heading1"/>
        <w:spacing w:after="160" w:before="240"/>
      </w:pPr>
      <w:r>
        <w:rPr>
          <w:rFonts w:ascii="Arial" w:cs="Arial" w:eastAsia="Arial" w:hAnsi="Arial"/>
          <w:b/>
          <w:bCs/>
          <w:color w:val="15233B"/>
          <w:sz w:val="32"/>
          <w:szCs w:val="32"/>
        </w:rPr>
        <w:t xml:space="preserve">Part A: roadmap</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00"/>
        <w:gridCol w:w="1500"/>
        <w:gridCol w:w="2200"/>
        <w:gridCol w:w="3238"/>
      </w:tblGrid>
      <w:tr>
        <w:trPr>
          <w:tblHeader/>
        </w:trPr>
        <w:tc>
          <w:tcPr>
            <w:tcW w:type="dxa" w:w="2700"/>
            <w:tcBorders>
              <w:top w:val="single" w:color="C9D1DC" w:sz="4"/>
              <w:left w:val="single" w:color="C9D1DC" w:sz="4"/>
              <w:bottom w:val="single" w:color="C9D1DC" w:sz="4"/>
              <w:right w:val="single" w:color="C9D1DC" w:sz="4"/>
            </w:tcBorders>
            <w:shd w:fill="E9F0FA" w:color="auto" w:val="clear"/>
            <w:tcMar>
              <w:top w:type="dxa" w:w="70"/>
              <w:left w:type="dxa" w:w="90"/>
              <w:bottom w:type="dxa" w:w="70"/>
              <w:right w:type="dxa" w:w="90"/>
            </w:tcMar>
            <w:vAlign w:val="top"/>
          </w:tcPr>
          <w:p>
            <w:pPr>
              <w:spacing w:after="50" w:line="255"/>
            </w:pPr>
            <w:r>
              <w:rPr>
                <w:rFonts w:ascii="Arial" w:cs="Arial" w:eastAsia="Arial" w:hAnsi="Arial"/>
                <w:b/>
                <w:bCs/>
                <w:color w:val="15233B"/>
                <w:sz w:val="18"/>
                <w:szCs w:val="18"/>
              </w:rPr>
              <w:t xml:space="preserve">Obligation</w:t>
            </w:r>
          </w:p>
        </w:tc>
        <w:tc>
          <w:tcPr>
            <w:tcW w:type="dxa" w:w="1500"/>
            <w:tcBorders>
              <w:top w:val="single" w:color="C9D1DC" w:sz="4"/>
              <w:left w:val="single" w:color="C9D1DC" w:sz="4"/>
              <w:bottom w:val="single" w:color="C9D1DC" w:sz="4"/>
              <w:right w:val="single" w:color="C9D1DC" w:sz="4"/>
            </w:tcBorders>
            <w:shd w:fill="E9F0FA" w:color="auto" w:val="clear"/>
            <w:tcMar>
              <w:top w:type="dxa" w:w="70"/>
              <w:left w:type="dxa" w:w="90"/>
              <w:bottom w:type="dxa" w:w="70"/>
              <w:right w:type="dxa" w:w="90"/>
            </w:tcMar>
            <w:vAlign w:val="top"/>
          </w:tcPr>
          <w:p>
            <w:pPr>
              <w:spacing w:after="50" w:line="255"/>
            </w:pPr>
            <w:r>
              <w:rPr>
                <w:rFonts w:ascii="Arial" w:cs="Arial" w:eastAsia="Arial" w:hAnsi="Arial"/>
                <w:b/>
                <w:bCs/>
                <w:color w:val="15233B"/>
                <w:sz w:val="18"/>
                <w:szCs w:val="18"/>
              </w:rPr>
              <w:t xml:space="preserve">Legal basis</w:t>
            </w:r>
          </w:p>
        </w:tc>
        <w:tc>
          <w:tcPr>
            <w:tcW w:type="dxa" w:w="2200"/>
            <w:tcBorders>
              <w:top w:val="single" w:color="C9D1DC" w:sz="4"/>
              <w:left w:val="single" w:color="C9D1DC" w:sz="4"/>
              <w:bottom w:val="single" w:color="C9D1DC" w:sz="4"/>
              <w:right w:val="single" w:color="C9D1DC" w:sz="4"/>
            </w:tcBorders>
            <w:shd w:fill="E9F0FA" w:color="auto" w:val="clear"/>
            <w:tcMar>
              <w:top w:type="dxa" w:w="70"/>
              <w:left w:type="dxa" w:w="90"/>
              <w:bottom w:type="dxa" w:w="70"/>
              <w:right w:type="dxa" w:w="90"/>
            </w:tcMar>
            <w:vAlign w:val="top"/>
          </w:tcPr>
          <w:p>
            <w:pPr>
              <w:spacing w:after="50" w:line="255"/>
            </w:pPr>
            <w:r>
              <w:rPr>
                <w:rFonts w:ascii="Arial" w:cs="Arial" w:eastAsia="Arial" w:hAnsi="Arial"/>
                <w:b/>
                <w:bCs/>
                <w:color w:val="15233B"/>
                <w:sz w:val="18"/>
                <w:szCs w:val="18"/>
              </w:rPr>
              <w:t xml:space="preserve">Applies from</w:t>
            </w:r>
          </w:p>
        </w:tc>
        <w:tc>
          <w:tcPr>
            <w:tcW w:type="dxa" w:w="3238"/>
            <w:tcBorders>
              <w:top w:val="single" w:color="C9D1DC" w:sz="4"/>
              <w:left w:val="single" w:color="C9D1DC" w:sz="4"/>
              <w:bottom w:val="single" w:color="C9D1DC" w:sz="4"/>
              <w:right w:val="single" w:color="C9D1DC" w:sz="4"/>
            </w:tcBorders>
            <w:shd w:fill="E9F0FA" w:color="auto" w:val="clear"/>
            <w:tcMar>
              <w:top w:type="dxa" w:w="70"/>
              <w:left w:type="dxa" w:w="90"/>
              <w:bottom w:type="dxa" w:w="70"/>
              <w:right w:type="dxa" w:w="90"/>
            </w:tcMar>
            <w:vAlign w:val="top"/>
          </w:tcPr>
          <w:p>
            <w:pPr>
              <w:spacing w:after="50" w:line="255"/>
            </w:pPr>
            <w:r>
              <w:rPr>
                <w:rFonts w:ascii="Arial" w:cs="Arial" w:eastAsia="Arial" w:hAnsi="Arial"/>
                <w:b/>
                <w:bCs/>
                <w:color w:val="15233B"/>
                <w:sz w:val="18"/>
                <w:szCs w:val="18"/>
              </w:rPr>
              <w:t xml:space="preserve">Exceptions, notes</w:t>
            </w:r>
          </w:p>
        </w:tc>
      </w:tr>
      <w:tr>
        <w:trPr>
          <w:tblHeader w:val="false"/>
        </w:trPr>
        <w:tc>
          <w:tcPr>
            <w:tcW w:type="dxa" w:w="2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Type, batch or serial number</w:t>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Art. 15(5)</w:t>
            </w:r>
          </w:p>
        </w:tc>
        <w:tc>
          <w:tcPr>
            <w:tcW w:type="dxa" w:w="2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12.08.2026</w:t>
            </w:r>
          </w:p>
        </w:tc>
        <w:tc>
          <w:tcPr>
            <w:tcW w:type="dxa" w:w="3238"/>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Type, batch or series is enough, one component per unit; accompanying document where affixing is impossible or for old stock (FAQ X.5, X.7, X.8)</w:t>
            </w:r>
          </w:p>
        </w:tc>
      </w:tr>
      <w:tr>
        <w:trPr>
          <w:tblHeader w:val="false"/>
        </w:trPr>
        <w:tc>
          <w:tcPr>
            <w:tcW w:type="dxa" w:w="2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Name, trade name or trade mark, postal address (single contact point), e-mail optional</w:t>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Art. 15(6), (7)</w:t>
            </w:r>
          </w:p>
        </w:tc>
        <w:tc>
          <w:tcPr>
            <w:tcW w:type="dxa" w:w="2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12.08.2026</w:t>
            </w:r>
          </w:p>
        </w:tc>
        <w:tc>
          <w:tcPr>
            <w:tcW w:type="dxa" w:w="3238"/>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On the packaging, QR code or data carrier; otherwise accompanying documents. Clear, legible, not confusable with other mandatory information</w:t>
            </w:r>
          </w:p>
        </w:tc>
      </w:tr>
      <w:tr>
        <w:trPr>
          <w:tblHeader w:val="false"/>
        </w:trPr>
        <w:tc>
          <w:tcPr>
            <w:tcW w:type="dxa" w:w="2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Name and address of the importer</w:t>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Art. 18(3)</w:t>
            </w:r>
          </w:p>
        </w:tc>
        <w:tc>
          <w:tcPr>
            <w:tcW w:type="dxa" w:w="2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12.08.2026</w:t>
            </w:r>
          </w:p>
        </w:tc>
        <w:tc>
          <w:tcPr>
            <w:tcW w:type="dxa" w:w="3238"/>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In addition to manufacturer details</w:t>
            </w:r>
          </w:p>
        </w:tc>
      </w:tr>
      <w:tr>
        <w:trPr>
          <w:tblHeader w:val="false"/>
        </w:trPr>
        <w:tc>
          <w:tcPr>
            <w:tcW w:type="dxa" w:w="2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Ban on misleading marks, symbols, inscriptions</w:t>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Art. 12(8)</w:t>
            </w:r>
          </w:p>
        </w:tc>
        <w:tc>
          <w:tcPr>
            <w:tcW w:type="dxa" w:w="2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12.08.2026</w:t>
            </w:r>
          </w:p>
        </w:tc>
        <w:tc>
          <w:tcPr>
            <w:tcW w:type="dxa" w:w="3238"/>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Reference: sustainability requirements, packaging properties, waste management. Administrative offence, Section 66(2) no. 2 VerpackDG</w:t>
            </w:r>
          </w:p>
        </w:tc>
      </w:tr>
      <w:tr>
        <w:trPr>
          <w:tblHeader w:val="false"/>
        </w:trPr>
        <w:tc>
          <w:tcPr>
            <w:tcW w:type="dxa" w:w="2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Environmental claims only beyond minimum requirements, stating what they refer to, evidence in the technical documentation</w:t>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Art. 14</w:t>
            </w:r>
          </w:p>
        </w:tc>
        <w:tc>
          <w:tcPr>
            <w:tcW w:type="dxa" w:w="2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12.08.2026</w:t>
            </w:r>
          </w:p>
        </w:tc>
        <w:tc>
          <w:tcPr>
            <w:tcW w:type="dxa" w:w="3238"/>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State unit, part of the unit or all packaging</w:t>
            </w:r>
          </w:p>
        </w:tc>
      </w:tr>
      <w:tr>
        <w:trPr>
          <w:tblHeader w:val="false"/>
        </w:trPr>
        <w:tc>
          <w:tcPr>
            <w:tcW w:type="dxa" w:w="2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Distributors check details before making available</w:t>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Art. 19(2), (3)</w:t>
            </w:r>
          </w:p>
        </w:tc>
        <w:tc>
          <w:tcPr>
            <w:tcW w:type="dxa" w:w="2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12.08.2026</w:t>
            </w:r>
          </w:p>
        </w:tc>
        <w:tc>
          <w:tcPr>
            <w:tcW w:type="dxa" w:w="3238"/>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No making available without details</w:t>
            </w:r>
          </w:p>
        </w:tc>
      </w:tr>
      <w:tr>
        <w:trPr>
          <w:tblHeader w:val="false"/>
        </w:trPr>
        <w:tc>
          <w:tcPr>
            <w:tcW w:type="dxa" w:w="2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EPR symbols digital only (QR code)</w:t>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Art. 12(9)</w:t>
            </w:r>
          </w:p>
        </w:tc>
        <w:tc>
          <w:tcPr>
            <w:tcW w:type="dxa" w:w="2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12.02.2027</w:t>
            </w:r>
          </w:p>
        </w:tc>
        <w:tc>
          <w:tcPr>
            <w:tcW w:type="dxa" w:w="3238"/>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Printed system marks such as the Green Dot no longer allowed on the Commission's reading</w:t>
            </w:r>
          </w:p>
        </w:tc>
      </w:tr>
      <w:tr>
        <w:trPr>
          <w:tblHeader w:val="false"/>
        </w:trPr>
        <w:tc>
          <w:tcPr>
            <w:tcW w:type="dxa" w:w="2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Harmonised sorting label with pictograms</w:t>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Art. 12(1), (6), (7)</w:t>
            </w:r>
          </w:p>
        </w:tc>
        <w:tc>
          <w:tcPr>
            <w:tcW w:type="dxa" w:w="2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12 August 2028 or 24 months after the implementing act, whichever is later</w:t>
            </w:r>
          </w:p>
        </w:tc>
        <w:tc>
          <w:tcPr>
            <w:tcW w:type="dxa" w:w="3238"/>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Not for transport packaging except e-commerce, not for deposit packaging; medicinal products and medical devices under para. 11. Act not adopted as at 09/2026</w:t>
            </w:r>
          </w:p>
        </w:tc>
      </w:tr>
      <w:tr>
        <w:trPr>
          <w:tblHeader w:val="false"/>
        </w:trPr>
        <w:tc>
          <w:tcPr>
            <w:tcW w:type="dxa" w:w="2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Recycled content and bio-based labelling, voluntary, harmonised</w:t>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Art. 12(4)</w:t>
            </w:r>
          </w:p>
        </w:tc>
        <w:tc>
          <w:tcPr>
            <w:tcW w:type="dxa" w:w="2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as sorting label</w:t>
            </w:r>
          </w:p>
        </w:tc>
        <w:tc>
          <w:tcPr>
            <w:tcW w:type="dxa" w:w="3238"/>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Only per the harmonised specifications and the method under Art. 7(8)</w:t>
            </w:r>
          </w:p>
        </w:tc>
      </w:tr>
      <w:tr>
        <w:trPr>
          <w:tblHeader w:val="false"/>
        </w:trPr>
        <w:tc>
          <w:tcPr>
            <w:tcW w:type="dxa" w:w="2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End of the material numbers under Decision 97/129/EC</w:t>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Art. 70(2), Section 4 VerpackDG</w:t>
            </w:r>
          </w:p>
        </w:tc>
        <w:tc>
          <w:tcPr>
            <w:tcW w:type="dxa" w:w="2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12.08.2028</w:t>
            </w:r>
          </w:p>
        </w:tc>
        <w:tc>
          <w:tcPr>
            <w:tcW w:type="dxa" w:w="3238"/>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Voluntary until then, other numbering systems not allowed</w:t>
            </w:r>
          </w:p>
        </w:tc>
      </w:tr>
      <w:tr>
        <w:trPr>
          <w:tblHeader w:val="false"/>
        </w:trPr>
        <w:tc>
          <w:tcPr>
            <w:tcW w:type="dxa" w:w="2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Transition for packaging manufactured before that</w:t>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Art. 12(12)</w:t>
            </w:r>
          </w:p>
        </w:tc>
        <w:tc>
          <w:tcPr>
            <w:tcW w:type="dxa" w:w="2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3 years from start of labelling obligation</w:t>
            </w:r>
          </w:p>
        </w:tc>
        <w:tc>
          <w:tcPr>
            <w:tcW w:type="dxa" w:w="3238"/>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Applies to paras 1, 2 and 4</w:t>
            </w:r>
          </w:p>
        </w:tc>
      </w:tr>
      <w:tr>
        <w:trPr>
          <w:tblHeader w:val="false"/>
        </w:trPr>
        <w:tc>
          <w:tcPr>
            <w:tcW w:type="dxa" w:w="2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Labelling of reusable packaging plus QR code</w:t>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Art. 12(2), (3)</w:t>
            </w:r>
          </w:p>
        </w:tc>
        <w:tc>
          <w:tcPr>
            <w:tcW w:type="dxa" w:w="2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12 February 2029 or 30 months after the implementing act</w:t>
            </w:r>
          </w:p>
        </w:tc>
        <w:tc>
          <w:tcPr>
            <w:tcW w:type="dxa" w:w="3238"/>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Not for open-loop systems without a system operator</w:t>
            </w:r>
          </w:p>
        </w:tc>
      </w:tr>
      <w:tr>
        <w:trPr>
          <w:tblHeader w:val="false"/>
        </w:trPr>
        <w:tc>
          <w:tcPr>
            <w:tcW w:type="dxa" w:w="2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Digital declaration of substances of concern</w:t>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Art. 12(1) subpara. 2, (7)</w:t>
            </w:r>
          </w:p>
        </w:tc>
        <w:tc>
          <w:tcPr>
            <w:tcW w:type="dxa" w:w="2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Per the method, to be set by 1 January 2030</w:t>
            </w:r>
          </w:p>
        </w:tc>
        <w:tc>
          <w:tcPr>
            <w:tcW w:type="dxa" w:w="3238"/>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At least name and concentration per material</w:t>
            </w:r>
          </w:p>
        </w:tc>
      </w:tr>
      <w:tr>
        <w:trPr>
          <w:tblHeader w:val="false"/>
        </w:trPr>
        <w:tc>
          <w:tcPr>
            <w:tcW w:type="dxa" w:w="2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Deposit label, single-use beverage packaging</w:t>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Section 46(1) sent. 3 VerpackDG</w:t>
            </w:r>
          </w:p>
        </w:tc>
        <w:tc>
          <w:tcPr>
            <w:tcW w:type="dxa" w:w="2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ongoing</w:t>
            </w:r>
          </w:p>
        </w:tc>
        <w:tc>
          <w:tcPr>
            <w:tcW w:type="dxa" w:w="3238"/>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Durable, clearly legible, easily visible; governed nationally, colour label under Art. 12(1) subpara. 4 possible</w:t>
            </w:r>
          </w:p>
        </w:tc>
      </w:tr>
    </w:tbl>
    <w:p>
      <w:pPr>
        <w:pStyle w:val="Heading1"/>
        <w:spacing w:after="160" w:before="240"/>
      </w:pPr>
      <w:r>
        <w:rPr>
          <w:rFonts w:ascii="Arial" w:cs="Arial" w:eastAsia="Arial" w:hAnsi="Arial"/>
          <w:b/>
          <w:bCs/>
          <w:color w:val="15233B"/>
          <w:sz w:val="32"/>
          <w:szCs w:val="32"/>
        </w:rPr>
        <w:t xml:space="preserve">Part B: checklist of the Article 15 and 18 information per packaging</w:t>
      </w:r>
    </w:p>
    <w:p>
      <w:pPr>
        <w:spacing w:after="160"/>
      </w:pPr>
      <w:r>
        <w:rPr>
          <w:rFonts w:ascii="Arial" w:cs="Arial" w:eastAsia="Arial" w:hAnsi="Arial"/>
          <w:i/>
          <w:iCs/>
          <w:color w:val="5C6672"/>
          <w:sz w:val="18"/>
          <w:szCs w:val="18"/>
        </w:rPr>
        <w:t xml:space="preserve">One row per packaging type. Only fill in where you are the manufacturer (Art. 15) or the importer (Art. 18). Suppliers of empty packaging are not covered by the obligation.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00"/>
        <w:gridCol w:w="1200"/>
        <w:gridCol w:w="1300"/>
        <w:gridCol w:w="1600"/>
        <w:gridCol w:w="1500"/>
        <w:gridCol w:w="1138"/>
        <w:gridCol w:w="1000"/>
      </w:tblGrid>
      <w:tr>
        <w:trPr>
          <w:tblHeader/>
        </w:trPr>
        <w:tc>
          <w:tcPr>
            <w:tcW w:type="dxa" w:w="1900"/>
            <w:tcBorders>
              <w:top w:val="single" w:color="C9D1DC" w:sz="4"/>
              <w:left w:val="single" w:color="C9D1DC" w:sz="4"/>
              <w:bottom w:val="single" w:color="C9D1DC" w:sz="4"/>
              <w:right w:val="single" w:color="C9D1DC" w:sz="4"/>
            </w:tcBorders>
            <w:shd w:fill="E9F0FA" w:color="auto" w:val="clear"/>
            <w:tcMar>
              <w:top w:type="dxa" w:w="70"/>
              <w:left w:type="dxa" w:w="90"/>
              <w:bottom w:type="dxa" w:w="70"/>
              <w:right w:type="dxa" w:w="90"/>
            </w:tcMar>
            <w:vAlign w:val="top"/>
          </w:tcPr>
          <w:p>
            <w:pPr>
              <w:spacing w:after="50" w:line="255"/>
            </w:pPr>
            <w:r>
              <w:rPr>
                <w:rFonts w:ascii="Arial" w:cs="Arial" w:eastAsia="Arial" w:hAnsi="Arial"/>
                <w:b/>
                <w:bCs/>
                <w:color w:val="15233B"/>
                <w:sz w:val="18"/>
                <w:szCs w:val="18"/>
              </w:rPr>
              <w:t xml:space="preserve">Packaging type</w:t>
            </w:r>
          </w:p>
        </w:tc>
        <w:tc>
          <w:tcPr>
            <w:tcW w:type="dxa" w:w="1200"/>
            <w:tcBorders>
              <w:top w:val="single" w:color="C9D1DC" w:sz="4"/>
              <w:left w:val="single" w:color="C9D1DC" w:sz="4"/>
              <w:bottom w:val="single" w:color="C9D1DC" w:sz="4"/>
              <w:right w:val="single" w:color="C9D1DC" w:sz="4"/>
            </w:tcBorders>
            <w:shd w:fill="E9F0FA" w:color="auto" w:val="clear"/>
            <w:tcMar>
              <w:top w:type="dxa" w:w="70"/>
              <w:left w:type="dxa" w:w="90"/>
              <w:bottom w:type="dxa" w:w="70"/>
              <w:right w:type="dxa" w:w="90"/>
            </w:tcMar>
            <w:vAlign w:val="top"/>
          </w:tcPr>
          <w:p>
            <w:pPr>
              <w:spacing w:after="50" w:line="255"/>
            </w:pPr>
            <w:r>
              <w:rPr>
                <w:rFonts w:ascii="Arial" w:cs="Arial" w:eastAsia="Arial" w:hAnsi="Arial"/>
                <w:b/>
                <w:bCs/>
                <w:color w:val="15233B"/>
                <w:sz w:val="18"/>
                <w:szCs w:val="18"/>
              </w:rPr>
              <w:t xml:space="preserve">Role: manufacturer / importer</w:t>
            </w:r>
          </w:p>
        </w:tc>
        <w:tc>
          <w:tcPr>
            <w:tcW w:type="dxa" w:w="1300"/>
            <w:tcBorders>
              <w:top w:val="single" w:color="C9D1DC" w:sz="4"/>
              <w:left w:val="single" w:color="C9D1DC" w:sz="4"/>
              <w:bottom w:val="single" w:color="C9D1DC" w:sz="4"/>
              <w:right w:val="single" w:color="C9D1DC" w:sz="4"/>
            </w:tcBorders>
            <w:shd w:fill="E9F0FA" w:color="auto" w:val="clear"/>
            <w:tcMar>
              <w:top w:type="dxa" w:w="70"/>
              <w:left w:type="dxa" w:w="90"/>
              <w:bottom w:type="dxa" w:w="70"/>
              <w:right w:type="dxa" w:w="90"/>
            </w:tcMar>
            <w:vAlign w:val="top"/>
          </w:tcPr>
          <w:p>
            <w:pPr>
              <w:spacing w:after="50" w:line="255"/>
            </w:pPr>
            <w:r>
              <w:rPr>
                <w:rFonts w:ascii="Arial" w:cs="Arial" w:eastAsia="Arial" w:hAnsi="Arial"/>
                <w:b/>
                <w:bCs/>
                <w:color w:val="15233B"/>
                <w:sz w:val="18"/>
                <w:szCs w:val="18"/>
              </w:rPr>
              <w:t xml:space="preserve">Identifier (type, batch, series)</w:t>
            </w:r>
          </w:p>
        </w:tc>
        <w:tc>
          <w:tcPr>
            <w:tcW w:type="dxa" w:w="1600"/>
            <w:tcBorders>
              <w:top w:val="single" w:color="C9D1DC" w:sz="4"/>
              <w:left w:val="single" w:color="C9D1DC" w:sz="4"/>
              <w:bottom w:val="single" w:color="C9D1DC" w:sz="4"/>
              <w:right w:val="single" w:color="C9D1DC" w:sz="4"/>
            </w:tcBorders>
            <w:shd w:fill="E9F0FA" w:color="auto" w:val="clear"/>
            <w:tcMar>
              <w:top w:type="dxa" w:w="70"/>
              <w:left w:type="dxa" w:w="90"/>
              <w:bottom w:type="dxa" w:w="70"/>
              <w:right w:type="dxa" w:w="90"/>
            </w:tcMar>
            <w:vAlign w:val="top"/>
          </w:tcPr>
          <w:p>
            <w:pPr>
              <w:spacing w:after="50" w:line="255"/>
            </w:pPr>
            <w:r>
              <w:rPr>
                <w:rFonts w:ascii="Arial" w:cs="Arial" w:eastAsia="Arial" w:hAnsi="Arial"/>
                <w:b/>
                <w:bCs/>
                <w:color w:val="15233B"/>
                <w:sz w:val="18"/>
                <w:szCs w:val="18"/>
              </w:rPr>
              <w:t xml:space="preserve">Name or trade mark, single contact point address</w:t>
            </w:r>
          </w:p>
        </w:tc>
        <w:tc>
          <w:tcPr>
            <w:tcW w:type="dxa" w:w="1500"/>
            <w:tcBorders>
              <w:top w:val="single" w:color="C9D1DC" w:sz="4"/>
              <w:left w:val="single" w:color="C9D1DC" w:sz="4"/>
              <w:bottom w:val="single" w:color="C9D1DC" w:sz="4"/>
              <w:right w:val="single" w:color="C9D1DC" w:sz="4"/>
            </w:tcBorders>
            <w:shd w:fill="E9F0FA" w:color="auto" w:val="clear"/>
            <w:tcMar>
              <w:top w:type="dxa" w:w="70"/>
              <w:left w:type="dxa" w:w="90"/>
              <w:bottom w:type="dxa" w:w="70"/>
              <w:right w:type="dxa" w:w="90"/>
            </w:tcMar>
            <w:vAlign w:val="top"/>
          </w:tcPr>
          <w:p>
            <w:pPr>
              <w:spacing w:after="50" w:line="255"/>
            </w:pPr>
            <w:r>
              <w:rPr>
                <w:rFonts w:ascii="Arial" w:cs="Arial" w:eastAsia="Arial" w:hAnsi="Arial"/>
                <w:b/>
                <w:bCs/>
                <w:color w:val="15233B"/>
                <w:sz w:val="18"/>
                <w:szCs w:val="18"/>
              </w:rPr>
              <w:t xml:space="preserve">Place: packaging / QR / accompanying doc</w:t>
            </w:r>
          </w:p>
        </w:tc>
        <w:tc>
          <w:tcPr>
            <w:tcW w:type="dxa" w:w="1138"/>
            <w:tcBorders>
              <w:top w:val="single" w:color="C9D1DC" w:sz="4"/>
              <w:left w:val="single" w:color="C9D1DC" w:sz="4"/>
              <w:bottom w:val="single" w:color="C9D1DC" w:sz="4"/>
              <w:right w:val="single" w:color="C9D1DC" w:sz="4"/>
            </w:tcBorders>
            <w:shd w:fill="E9F0FA" w:color="auto" w:val="clear"/>
            <w:tcMar>
              <w:top w:type="dxa" w:w="70"/>
              <w:left w:type="dxa" w:w="90"/>
              <w:bottom w:type="dxa" w:w="70"/>
              <w:right w:type="dxa" w:w="90"/>
            </w:tcMar>
            <w:vAlign w:val="top"/>
          </w:tcPr>
          <w:p>
            <w:pPr>
              <w:spacing w:after="50" w:line="255"/>
            </w:pPr>
            <w:r>
              <w:rPr>
                <w:rFonts w:ascii="Arial" w:cs="Arial" w:eastAsia="Arial" w:hAnsi="Arial"/>
                <w:b/>
                <w:bCs/>
                <w:color w:val="15233B"/>
                <w:sz w:val="18"/>
                <w:szCs w:val="18"/>
              </w:rPr>
              <w:t xml:space="preserve">Importer details</w:t>
            </w:r>
          </w:p>
        </w:tc>
        <w:tc>
          <w:tcPr>
            <w:tcW w:type="dxa" w:w="1000"/>
            <w:tcBorders>
              <w:top w:val="single" w:color="C9D1DC" w:sz="4"/>
              <w:left w:val="single" w:color="C9D1DC" w:sz="4"/>
              <w:bottom w:val="single" w:color="C9D1DC" w:sz="4"/>
              <w:right w:val="single" w:color="C9D1DC" w:sz="4"/>
            </w:tcBorders>
            <w:shd w:fill="E9F0FA" w:color="auto" w:val="clear"/>
            <w:tcMar>
              <w:top w:type="dxa" w:w="70"/>
              <w:left w:type="dxa" w:w="90"/>
              <w:bottom w:type="dxa" w:w="70"/>
              <w:right w:type="dxa" w:w="90"/>
            </w:tcMar>
            <w:vAlign w:val="top"/>
          </w:tcPr>
          <w:p>
            <w:pPr>
              <w:spacing w:after="50" w:line="255"/>
            </w:pPr>
            <w:r>
              <w:rPr>
                <w:rFonts w:ascii="Arial" w:cs="Arial" w:eastAsia="Arial" w:hAnsi="Arial"/>
                <w:b/>
                <w:bCs/>
                <w:color w:val="15233B"/>
                <w:sz w:val="18"/>
                <w:szCs w:val="18"/>
              </w:rPr>
              <w:t xml:space="preserve">Status</w:t>
            </w:r>
          </w:p>
        </w:tc>
      </w:tr>
      <w:tr>
        <w:trPr>
          <w:tblHeader w:val="false"/>
        </w:trPr>
        <w:tc>
          <w:tcPr>
            <w:tcW w:type="dxa" w:w="19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3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6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138"/>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0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r>
      <w:tr>
        <w:trPr>
          <w:tblHeader w:val="false"/>
        </w:trPr>
        <w:tc>
          <w:tcPr>
            <w:tcW w:type="dxa" w:w="19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3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6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138"/>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0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r>
      <w:tr>
        <w:trPr>
          <w:tblHeader w:val="false"/>
        </w:trPr>
        <w:tc>
          <w:tcPr>
            <w:tcW w:type="dxa" w:w="19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3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6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138"/>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0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r>
      <w:tr>
        <w:trPr>
          <w:tblHeader w:val="false"/>
        </w:trPr>
        <w:tc>
          <w:tcPr>
            <w:tcW w:type="dxa" w:w="19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3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6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138"/>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0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r>
      <w:tr>
        <w:trPr>
          <w:tblHeader w:val="false"/>
        </w:trPr>
        <w:tc>
          <w:tcPr>
            <w:tcW w:type="dxa" w:w="19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3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6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138"/>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0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r>
      <w:tr>
        <w:trPr>
          <w:tblHeader w:val="false"/>
        </w:trPr>
        <w:tc>
          <w:tcPr>
            <w:tcW w:type="dxa" w:w="19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3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6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138"/>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0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r>
      <w:tr>
        <w:trPr>
          <w:tblHeader w:val="false"/>
        </w:trPr>
        <w:tc>
          <w:tcPr>
            <w:tcW w:type="dxa" w:w="19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3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6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138"/>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0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r>
      <w:tr>
        <w:trPr>
          <w:tblHeader w:val="false"/>
        </w:trPr>
        <w:tc>
          <w:tcPr>
            <w:tcW w:type="dxa" w:w="19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3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6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138"/>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0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r>
      <w:tr>
        <w:trPr>
          <w:tblHeader w:val="false"/>
        </w:trPr>
        <w:tc>
          <w:tcPr>
            <w:tcW w:type="dxa" w:w="19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3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6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138"/>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0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r>
      <w:tr>
        <w:trPr>
          <w:tblHeader w:val="false"/>
        </w:trPr>
        <w:tc>
          <w:tcPr>
            <w:tcW w:type="dxa" w:w="19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3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6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138"/>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0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r>
    </w:tbl>
    <w:p>
      <w:pPr>
        <w:pStyle w:val="Heading1"/>
        <w:spacing w:after="160" w:before="240"/>
      </w:pPr>
      <w:r>
        <w:rPr>
          <w:rFonts w:ascii="Arial" w:cs="Arial" w:eastAsia="Arial" w:hAnsi="Arial"/>
          <w:b/>
          <w:bCs/>
          <w:color w:val="15233B"/>
          <w:sz w:val="32"/>
          <w:szCs w:val="32"/>
        </w:rPr>
        <w:t xml:space="preserve">Part C: text module for the accompanying document</w:t>
      </w:r>
    </w:p>
    <w:p>
      <w:pPr>
        <w:spacing w:after="160"/>
      </w:pPr>
      <w:r>
        <w:rPr>
          <w:rFonts w:ascii="Arial" w:cs="Arial" w:eastAsia="Arial" w:hAnsi="Arial"/>
          <w:i/>
          <w:iCs/>
          <w:color w:val="5C6672"/>
          <w:sz w:val="18"/>
          <w:szCs w:val="18"/>
        </w:rPr>
        <w:t xml:space="preserve">For old stock (manufactured before 12 August 2026) and for packaging whose size or nature does not allow affixing. German and English, replace placeholders.</w:t>
      </w:r>
    </w:p>
    <w:p>
      <w:pPr>
        <w:spacing w:after="120" w:line="276"/>
      </w:pPr>
      <w:r>
        <w:rPr>
          <w:rFonts w:ascii="Arial" w:cs="Arial" w:eastAsia="Arial" w:hAnsi="Arial"/>
          <w:b/>
          <w:bCs/>
          <w:color w:val="15233B"/>
          <w:sz w:val="20"/>
          <w:szCs w:val="20"/>
        </w:rPr>
        <w:t xml:space="preserve">Angaben nach Artikel 15 Absätze 5 und 6 der Verordnung (EU) 2025/40 zur Verpackung des beiliegenden Produkts</w:t>
      </w:r>
    </w:p>
    <w:p>
      <w:pPr>
        <w:spacing w:after="60"/>
        <w:ind w:left="360"/>
      </w:pPr>
      <w:r>
        <w:rPr>
          <w:rFonts w:ascii="Arial" w:cs="Arial" w:eastAsia="Arial" w:hAnsi="Arial"/>
          <w:i/>
          <w:iCs/>
          <w:color w:val="5C6672"/>
          <w:sz w:val="20"/>
          <w:szCs w:val="20"/>
        </w:rPr>
        <w:t xml:space="preserve">Verpackung: [Verpackungsart, Typ, Charge oder Serie]</w:t>
      </w:r>
    </w:p>
    <w:p>
      <w:pPr>
        <w:spacing w:after="60"/>
        <w:ind w:left="360"/>
      </w:pPr>
      <w:r>
        <w:rPr>
          <w:rFonts w:ascii="Arial" w:cs="Arial" w:eastAsia="Arial" w:hAnsi="Arial"/>
          <w:i/>
          <w:iCs/>
          <w:color w:val="5C6672"/>
          <w:sz w:val="20"/>
          <w:szCs w:val="20"/>
        </w:rPr>
        <w:t xml:space="preserve">Erzeuger: [Name, eingetragener Handelsname oder eingetragene Marke]</w:t>
      </w:r>
    </w:p>
    <w:p>
      <w:pPr>
        <w:spacing w:after="60"/>
        <w:ind w:left="360"/>
      </w:pPr>
      <w:r>
        <w:rPr>
          <w:rFonts w:ascii="Arial" w:cs="Arial" w:eastAsia="Arial" w:hAnsi="Arial"/>
          <w:i/>
          <w:iCs/>
          <w:color w:val="5C6672"/>
          <w:sz w:val="20"/>
          <w:szCs w:val="20"/>
        </w:rPr>
        <w:t xml:space="preserve">Postanschrift (zentrale Stelle): [Straße, PLZ, Ort, Land]</w:t>
      </w:r>
    </w:p>
    <w:p>
      <w:pPr>
        <w:spacing w:after="60"/>
        <w:ind w:left="360"/>
      </w:pPr>
      <w:r>
        <w:rPr>
          <w:rFonts w:ascii="Arial" w:cs="Arial" w:eastAsia="Arial" w:hAnsi="Arial"/>
          <w:i/>
          <w:iCs/>
          <w:color w:val="5C6672"/>
          <w:sz w:val="20"/>
          <w:szCs w:val="20"/>
        </w:rPr>
        <w:t xml:space="preserve">Kontakt: [E-Mail oder andere elektronische Kontaktmöglichkeit]</w:t>
      </w:r>
    </w:p>
    <w:p>
      <w:pPr>
        <w:spacing w:after="60"/>
        <w:ind w:left="360"/>
      </w:pPr>
      <w:r>
        <w:rPr>
          <w:rFonts w:ascii="Arial" w:cs="Arial" w:eastAsia="Arial" w:hAnsi="Arial"/>
          <w:i/>
          <w:iCs/>
          <w:color w:val="5C6672"/>
          <w:sz w:val="20"/>
          <w:szCs w:val="20"/>
        </w:rPr>
        <w:t xml:space="preserve">Importeur (falls zutreffend, Artikel 18 Absatz 3): [Name, Anschrift]</w:t>
      </w:r>
    </w:p>
    <w:p>
      <w:pPr>
        <w:spacing w:after="60"/>
        <w:ind w:left="360"/>
      </w:pPr>
      <w:r>
        <w:rPr>
          <w:rFonts w:ascii="Arial" w:cs="Arial" w:eastAsia="Arial" w:hAnsi="Arial"/>
          <w:i/>
          <w:iCs/>
          <w:color w:val="5C6672"/>
          <w:sz w:val="20"/>
          <w:szCs w:val="20"/>
        </w:rPr>
        <w:t xml:space="preserve">Die Angaben werden in diesem Begleitdokument bereitgestellt, weil [die Verpackung vor dem 12. August 2026 hergestellt wurde / Größe oder Art der Verpackung das Anbringen nicht zulassen].</w:t>
      </w:r>
    </w:p>
    <w:p>
      <w:pPr>
        <w:spacing w:after="120" w:line="276"/>
      </w:pPr>
      <w:r>
        <w:rPr>
          <w:rFonts w:ascii="Arial" w:cs="Arial" w:eastAsia="Arial" w:hAnsi="Arial"/>
          <w:b/>
          <w:bCs/>
          <w:color w:val="15233B"/>
          <w:sz w:val="20"/>
          <w:szCs w:val="20"/>
        </w:rPr>
        <w:t xml:space="preserve">Information pursuant to Article 15(5) and (6) of Regulation (EU) 2025/40 on the packaging of the accompanying product</w:t>
      </w:r>
    </w:p>
    <w:p>
      <w:pPr>
        <w:spacing w:after="60"/>
        <w:ind w:left="360"/>
      </w:pPr>
      <w:r>
        <w:rPr>
          <w:rFonts w:ascii="Arial" w:cs="Arial" w:eastAsia="Arial" w:hAnsi="Arial"/>
          <w:i/>
          <w:iCs/>
          <w:color w:val="5C6672"/>
          <w:sz w:val="20"/>
          <w:szCs w:val="20"/>
        </w:rPr>
        <w:t xml:space="preserve">Packaging: [packaging type, type/batch/serial number]</w:t>
      </w:r>
    </w:p>
    <w:p>
      <w:pPr>
        <w:spacing w:after="60"/>
        <w:ind w:left="360"/>
      </w:pPr>
      <w:r>
        <w:rPr>
          <w:rFonts w:ascii="Arial" w:cs="Arial" w:eastAsia="Arial" w:hAnsi="Arial"/>
          <w:i/>
          <w:iCs/>
          <w:color w:val="5C6672"/>
          <w:sz w:val="20"/>
          <w:szCs w:val="20"/>
        </w:rPr>
        <w:t xml:space="preserve">Manufacturer: [name, registered trade name or registered trade mark]</w:t>
      </w:r>
    </w:p>
    <w:p>
      <w:pPr>
        <w:spacing w:after="60"/>
        <w:ind w:left="360"/>
      </w:pPr>
      <w:r>
        <w:rPr>
          <w:rFonts w:ascii="Arial" w:cs="Arial" w:eastAsia="Arial" w:hAnsi="Arial"/>
          <w:i/>
          <w:iCs/>
          <w:color w:val="5C6672"/>
          <w:sz w:val="20"/>
          <w:szCs w:val="20"/>
        </w:rPr>
        <w:t xml:space="preserve">Postal address (single point of contact): [street, postcode, city, country]</w:t>
      </w:r>
    </w:p>
    <w:p>
      <w:pPr>
        <w:spacing w:after="60"/>
        <w:ind w:left="360"/>
      </w:pPr>
      <w:r>
        <w:rPr>
          <w:rFonts w:ascii="Arial" w:cs="Arial" w:eastAsia="Arial" w:hAnsi="Arial"/>
          <w:i/>
          <w:iCs/>
          <w:color w:val="5C6672"/>
          <w:sz w:val="20"/>
          <w:szCs w:val="20"/>
        </w:rPr>
        <w:t xml:space="preserve">Contact: [e-mail or other electronic means of communication]</w:t>
      </w:r>
    </w:p>
    <w:p>
      <w:pPr>
        <w:spacing w:after="60"/>
        <w:ind w:left="360"/>
      </w:pPr>
      <w:r>
        <w:rPr>
          <w:rFonts w:ascii="Arial" w:cs="Arial" w:eastAsia="Arial" w:hAnsi="Arial"/>
          <w:i/>
          <w:iCs/>
          <w:color w:val="5C6672"/>
          <w:sz w:val="20"/>
          <w:szCs w:val="20"/>
        </w:rPr>
        <w:t xml:space="preserve">Importer (where applicable, Article 18(3)): [name, address]</w:t>
      </w:r>
    </w:p>
    <w:p>
      <w:pPr>
        <w:spacing w:after="60"/>
        <w:ind w:left="360"/>
      </w:pPr>
      <w:r>
        <w:rPr>
          <w:rFonts w:ascii="Arial" w:cs="Arial" w:eastAsia="Arial" w:hAnsi="Arial"/>
          <w:i/>
          <w:iCs/>
          <w:color w:val="5C6672"/>
          <w:sz w:val="20"/>
          <w:szCs w:val="20"/>
        </w:rPr>
        <w:t xml:space="preserve">This information is provided in an accompanying document because [the packaging was manufactured before 12 August 2026 / the size or nature of the packaging does not allow it to be affixed].</w:t>
      </w:r>
    </w:p>
    <w:p>
      <w:r>
        <w:br w:type="page"/>
      </w:r>
    </w:p>
    <w:p>
      <w:pPr>
        <w:pStyle w:val="Heading1"/>
        <w:spacing w:after="160" w:before="240"/>
      </w:pPr>
      <w:r>
        <w:rPr>
          <w:rFonts w:ascii="Arial" w:cs="Arial" w:eastAsia="Arial" w:hAnsi="Arial"/>
          <w:b/>
          <w:bCs/>
          <w:color w:val="15233B"/>
          <w:sz w:val="32"/>
          <w:szCs w:val="32"/>
        </w:rPr>
        <w:t xml:space="preserve">Part D: check for symbols and environmental claims</w:t>
      </w:r>
    </w:p>
    <w:p>
      <w:pPr>
        <w:spacing w:after="160"/>
      </w:pPr>
      <w:r>
        <w:rPr>
          <w:rFonts w:ascii="Arial" w:cs="Arial" w:eastAsia="Arial" w:hAnsi="Arial"/>
          <w:i/>
          <w:iCs/>
          <w:color w:val="5C6672"/>
          <w:sz w:val="18"/>
          <w:szCs w:val="18"/>
        </w:rPr>
        <w:t xml:space="preserve">For every symbol and every claim on the packaging: Art. 12(8) (misleading), Art. 14 (environmental claims), Art. 12(9) (EPR symbols from 12 February 2027), Art. 70(2) and Section 4 VerpackDG (material numbers).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1700"/>
        <w:gridCol w:w="1500"/>
        <w:gridCol w:w="1900"/>
        <w:gridCol w:w="1338"/>
        <w:gridCol w:w="1000"/>
      </w:tblGrid>
      <w:tr>
        <w:trPr>
          <w:tblHeader/>
        </w:trPr>
        <w:tc>
          <w:tcPr>
            <w:tcW w:type="dxa" w:w="2200"/>
            <w:tcBorders>
              <w:top w:val="single" w:color="C9D1DC" w:sz="4"/>
              <w:left w:val="single" w:color="C9D1DC" w:sz="4"/>
              <w:bottom w:val="single" w:color="C9D1DC" w:sz="4"/>
              <w:right w:val="single" w:color="C9D1DC" w:sz="4"/>
            </w:tcBorders>
            <w:shd w:fill="E9F0FA" w:color="auto" w:val="clear"/>
            <w:tcMar>
              <w:top w:type="dxa" w:w="70"/>
              <w:left w:type="dxa" w:w="90"/>
              <w:bottom w:type="dxa" w:w="70"/>
              <w:right w:type="dxa" w:w="90"/>
            </w:tcMar>
            <w:vAlign w:val="top"/>
          </w:tcPr>
          <w:p>
            <w:pPr>
              <w:spacing w:after="50" w:line="255"/>
            </w:pPr>
            <w:r>
              <w:rPr>
                <w:rFonts w:ascii="Arial" w:cs="Arial" w:eastAsia="Arial" w:hAnsi="Arial"/>
                <w:b/>
                <w:bCs/>
                <w:color w:val="15233B"/>
                <w:sz w:val="18"/>
                <w:szCs w:val="18"/>
              </w:rPr>
              <w:t xml:space="preserve">Symbol or claim</w:t>
            </w:r>
          </w:p>
        </w:tc>
        <w:tc>
          <w:tcPr>
            <w:tcW w:type="dxa" w:w="1700"/>
            <w:tcBorders>
              <w:top w:val="single" w:color="C9D1DC" w:sz="4"/>
              <w:left w:val="single" w:color="C9D1DC" w:sz="4"/>
              <w:bottom w:val="single" w:color="C9D1DC" w:sz="4"/>
              <w:right w:val="single" w:color="C9D1DC" w:sz="4"/>
            </w:tcBorders>
            <w:shd w:fill="E9F0FA" w:color="auto" w:val="clear"/>
            <w:tcMar>
              <w:top w:type="dxa" w:w="70"/>
              <w:left w:type="dxa" w:w="90"/>
              <w:bottom w:type="dxa" w:w="70"/>
              <w:right w:type="dxa" w:w="90"/>
            </w:tcMar>
            <w:vAlign w:val="top"/>
          </w:tcPr>
          <w:p>
            <w:pPr>
              <w:spacing w:after="50" w:line="255"/>
            </w:pPr>
            <w:r>
              <w:rPr>
                <w:rFonts w:ascii="Arial" w:cs="Arial" w:eastAsia="Arial" w:hAnsi="Arial"/>
                <w:b/>
                <w:bCs/>
                <w:color w:val="15233B"/>
                <w:sz w:val="18"/>
                <w:szCs w:val="18"/>
              </w:rPr>
              <w:t xml:space="preserve">Refers to: unit, part, all packaging</w:t>
            </w:r>
          </w:p>
        </w:tc>
        <w:tc>
          <w:tcPr>
            <w:tcW w:type="dxa" w:w="1500"/>
            <w:tcBorders>
              <w:top w:val="single" w:color="C9D1DC" w:sz="4"/>
              <w:left w:val="single" w:color="C9D1DC" w:sz="4"/>
              <w:bottom w:val="single" w:color="C9D1DC" w:sz="4"/>
              <w:right w:val="single" w:color="C9D1DC" w:sz="4"/>
            </w:tcBorders>
            <w:shd w:fill="E9F0FA" w:color="auto" w:val="clear"/>
            <w:tcMar>
              <w:top w:type="dxa" w:w="70"/>
              <w:left w:type="dxa" w:w="90"/>
              <w:bottom w:type="dxa" w:w="70"/>
              <w:right w:type="dxa" w:w="90"/>
            </w:tcMar>
            <w:vAlign w:val="top"/>
          </w:tcPr>
          <w:p>
            <w:pPr>
              <w:spacing w:after="50" w:line="255"/>
            </w:pPr>
            <w:r>
              <w:rPr>
                <w:rFonts w:ascii="Arial" w:cs="Arial" w:eastAsia="Arial" w:hAnsi="Arial"/>
                <w:b/>
                <w:bCs/>
                <w:color w:val="15233B"/>
                <w:sz w:val="18"/>
                <w:szCs w:val="18"/>
              </w:rPr>
              <w:t xml:space="preserve">Beyond the minimum requirement?</w:t>
            </w:r>
          </w:p>
        </w:tc>
        <w:tc>
          <w:tcPr>
            <w:tcW w:type="dxa" w:w="1900"/>
            <w:tcBorders>
              <w:top w:val="single" w:color="C9D1DC" w:sz="4"/>
              <w:left w:val="single" w:color="C9D1DC" w:sz="4"/>
              <w:bottom w:val="single" w:color="C9D1DC" w:sz="4"/>
              <w:right w:val="single" w:color="C9D1DC" w:sz="4"/>
            </w:tcBorders>
            <w:shd w:fill="E9F0FA" w:color="auto" w:val="clear"/>
            <w:tcMar>
              <w:top w:type="dxa" w:w="70"/>
              <w:left w:type="dxa" w:w="90"/>
              <w:bottom w:type="dxa" w:w="70"/>
              <w:right w:type="dxa" w:w="90"/>
            </w:tcMar>
            <w:vAlign w:val="top"/>
          </w:tcPr>
          <w:p>
            <w:pPr>
              <w:spacing w:after="50" w:line="255"/>
            </w:pPr>
            <w:r>
              <w:rPr>
                <w:rFonts w:ascii="Arial" w:cs="Arial" w:eastAsia="Arial" w:hAnsi="Arial"/>
                <w:b/>
                <w:bCs/>
                <w:color w:val="15233B"/>
                <w:sz w:val="18"/>
                <w:szCs w:val="18"/>
              </w:rPr>
              <w:t xml:space="preserve">Criterion or method of the Regulation</w:t>
            </w:r>
          </w:p>
        </w:tc>
        <w:tc>
          <w:tcPr>
            <w:tcW w:type="dxa" w:w="1338"/>
            <w:tcBorders>
              <w:top w:val="single" w:color="C9D1DC" w:sz="4"/>
              <w:left w:val="single" w:color="C9D1DC" w:sz="4"/>
              <w:bottom w:val="single" w:color="C9D1DC" w:sz="4"/>
              <w:right w:val="single" w:color="C9D1DC" w:sz="4"/>
            </w:tcBorders>
            <w:shd w:fill="E9F0FA" w:color="auto" w:val="clear"/>
            <w:tcMar>
              <w:top w:type="dxa" w:w="70"/>
              <w:left w:type="dxa" w:w="90"/>
              <w:bottom w:type="dxa" w:w="70"/>
              <w:right w:type="dxa" w:w="90"/>
            </w:tcMar>
            <w:vAlign w:val="top"/>
          </w:tcPr>
          <w:p>
            <w:pPr>
              <w:spacing w:after="50" w:line="255"/>
            </w:pPr>
            <w:r>
              <w:rPr>
                <w:rFonts w:ascii="Arial" w:cs="Arial" w:eastAsia="Arial" w:hAnsi="Arial"/>
                <w:b/>
                <w:bCs/>
                <w:color w:val="15233B"/>
                <w:sz w:val="18"/>
                <w:szCs w:val="18"/>
              </w:rPr>
              <w:t xml:space="preserve">Evidence in technical documentation</w:t>
            </w:r>
          </w:p>
        </w:tc>
        <w:tc>
          <w:tcPr>
            <w:tcW w:type="dxa" w:w="1000"/>
            <w:tcBorders>
              <w:top w:val="single" w:color="C9D1DC" w:sz="4"/>
              <w:left w:val="single" w:color="C9D1DC" w:sz="4"/>
              <w:bottom w:val="single" w:color="C9D1DC" w:sz="4"/>
              <w:right w:val="single" w:color="C9D1DC" w:sz="4"/>
            </w:tcBorders>
            <w:shd w:fill="E9F0FA" w:color="auto" w:val="clear"/>
            <w:tcMar>
              <w:top w:type="dxa" w:w="70"/>
              <w:left w:type="dxa" w:w="90"/>
              <w:bottom w:type="dxa" w:w="70"/>
              <w:right w:type="dxa" w:w="90"/>
            </w:tcMar>
            <w:vAlign w:val="top"/>
          </w:tcPr>
          <w:p>
            <w:pPr>
              <w:spacing w:after="50" w:line="255"/>
            </w:pPr>
            <w:r>
              <w:rPr>
                <w:rFonts w:ascii="Arial" w:cs="Arial" w:eastAsia="Arial" w:hAnsi="Arial"/>
                <w:b/>
                <w:bCs/>
                <w:color w:val="15233B"/>
                <w:sz w:val="18"/>
                <w:szCs w:val="18"/>
              </w:rPr>
              <w:t xml:space="preserve">Decision: keep / amend / delete</w:t>
            </w:r>
          </w:p>
        </w:tc>
      </w:tr>
      <w:tr>
        <w:trPr>
          <w:tblHeader w:val="false"/>
        </w:trPr>
        <w:tc>
          <w:tcPr>
            <w:tcW w:type="dxa" w:w="2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9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338"/>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0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r>
      <w:tr>
        <w:trPr>
          <w:tblHeader w:val="false"/>
        </w:trPr>
        <w:tc>
          <w:tcPr>
            <w:tcW w:type="dxa" w:w="2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9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338"/>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0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r>
      <w:tr>
        <w:trPr>
          <w:tblHeader w:val="false"/>
        </w:trPr>
        <w:tc>
          <w:tcPr>
            <w:tcW w:type="dxa" w:w="2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9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338"/>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0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r>
      <w:tr>
        <w:trPr>
          <w:tblHeader w:val="false"/>
        </w:trPr>
        <w:tc>
          <w:tcPr>
            <w:tcW w:type="dxa" w:w="2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9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338"/>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0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r>
      <w:tr>
        <w:trPr>
          <w:tblHeader w:val="false"/>
        </w:trPr>
        <w:tc>
          <w:tcPr>
            <w:tcW w:type="dxa" w:w="2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9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338"/>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0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r>
      <w:tr>
        <w:trPr>
          <w:tblHeader w:val="false"/>
        </w:trPr>
        <w:tc>
          <w:tcPr>
            <w:tcW w:type="dxa" w:w="2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9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338"/>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0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r>
      <w:tr>
        <w:trPr>
          <w:tblHeader w:val="false"/>
        </w:trPr>
        <w:tc>
          <w:tcPr>
            <w:tcW w:type="dxa" w:w="2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9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338"/>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0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r>
      <w:tr>
        <w:trPr>
          <w:tblHeader w:val="false"/>
        </w:trPr>
        <w:tc>
          <w:tcPr>
            <w:tcW w:type="dxa" w:w="22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7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5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9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338"/>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c>
          <w:tcPr>
            <w:tcW w:type="dxa" w:w="10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
            </w:r>
          </w:p>
        </w:tc>
      </w:tr>
    </w:tbl>
    <w:p>
      <w:pPr>
        <w:pStyle w:val="Heading2"/>
        <w:spacing w:after="120" w:before="280"/>
      </w:pPr>
      <w:r>
        <w:rPr>
          <w:rFonts w:ascii="Arial" w:cs="Arial" w:eastAsia="Arial" w:hAnsi="Arial"/>
          <w:b/>
          <w:bCs/>
          <w:color w:val="1F63B3"/>
          <w:sz w:val="24"/>
          <w:szCs w:val="24"/>
        </w:rPr>
        <w:t xml:space="preserve">Key questions</w:t>
      </w:r>
    </w:p>
    <w:p>
      <w:pPr>
        <w:spacing w:after="120" w:line="276"/>
      </w:pPr>
      <w:r>
        <w:rPr>
          <w:rFonts w:ascii="Arial" w:cs="Arial" w:eastAsia="Arial" w:hAnsi="Arial"/>
          <w:color w:val="15233B"/>
          <w:sz w:val="20"/>
          <w:szCs w:val="20"/>
        </w:rPr>
        <w:t xml:space="preserve">Could the claim cause consumers to take a decision they would not otherwise have taken (FAQ VIII.2)? Does it concern a property for which the Regulation sets requirements, and does it go beyond the minimum requirement (Art. 14(a))? Is the reference stated (Art. 14(b))? Is the recycling symbol covered by an assessment under the Regulation, although the Art. 6 method is still missing? Is the EPR symbol moved into the QR code by 12 February 2027?</w:t>
      </w:r>
    </w:p>
    <w:p>
      <w:pPr>
        <w:pStyle w:val="Heading1"/>
        <w:spacing w:after="160" w:before="240"/>
      </w:pPr>
      <w:r>
        <w:rPr>
          <w:rFonts w:ascii="Arial" w:cs="Arial" w:eastAsia="Arial" w:hAnsi="Arial"/>
          <w:b/>
          <w:bCs/>
          <w:color w:val="15233B"/>
          <w:sz w:val="32"/>
          <w:szCs w:val="32"/>
        </w:rPr>
        <w:t xml:space="preserve">Part E: dates</w:t>
      </w:r>
    </w:p>
    <w:tbl>
      <w:tblPr>
        <w:tblW w:type="dxa" w:w="9038"/>
        <w:tblBorders>
          <w:top w:val="single" w:color="auto" w:sz="4"/>
          <w:left w:val="single" w:color="auto" w:sz="4"/>
          <w:bottom w:val="single" w:color="auto" w:sz="4"/>
          <w:right w:val="single" w:color="auto" w:sz="4"/>
          <w:insideH w:val="single" w:color="auto" w:sz="4"/>
          <w:insideV w:val="single" w:color="auto" w:sz="4"/>
        </w:tblBorders>
      </w:tblPr>
      <w:tblGrid>
        <w:gridCol w:w="2600"/>
        <w:gridCol w:w="6438"/>
      </w:tblGrid>
      <w:tr>
        <w:trPr>
          <w:tblHeader/>
        </w:trPr>
        <w:tc>
          <w:tcPr>
            <w:tcW w:type="dxa" w:w="2600"/>
            <w:tcBorders>
              <w:top w:val="single" w:color="C9D1DC" w:sz="4"/>
              <w:left w:val="single" w:color="C9D1DC" w:sz="4"/>
              <w:bottom w:val="single" w:color="C9D1DC" w:sz="4"/>
              <w:right w:val="single" w:color="C9D1DC" w:sz="4"/>
            </w:tcBorders>
            <w:shd w:fill="E9F0FA" w:color="auto" w:val="clear"/>
            <w:tcMar>
              <w:top w:type="dxa" w:w="70"/>
              <w:left w:type="dxa" w:w="90"/>
              <w:bottom w:type="dxa" w:w="70"/>
              <w:right w:type="dxa" w:w="90"/>
            </w:tcMar>
            <w:vAlign w:val="top"/>
          </w:tcPr>
          <w:p>
            <w:pPr>
              <w:spacing w:after="50" w:line="255"/>
            </w:pPr>
            <w:r>
              <w:rPr>
                <w:rFonts w:ascii="Arial" w:cs="Arial" w:eastAsia="Arial" w:hAnsi="Arial"/>
                <w:b/>
                <w:bCs/>
                <w:color w:val="15233B"/>
                <w:sz w:val="18"/>
                <w:szCs w:val="18"/>
              </w:rPr>
              <w:t xml:space="preserve">Date</w:t>
            </w:r>
          </w:p>
        </w:tc>
        <w:tc>
          <w:tcPr>
            <w:tcW w:type="dxa" w:w="6438"/>
            <w:tcBorders>
              <w:top w:val="single" w:color="C9D1DC" w:sz="4"/>
              <w:left w:val="single" w:color="C9D1DC" w:sz="4"/>
              <w:bottom w:val="single" w:color="C9D1DC" w:sz="4"/>
              <w:right w:val="single" w:color="C9D1DC" w:sz="4"/>
            </w:tcBorders>
            <w:shd w:fill="E9F0FA" w:color="auto" w:val="clear"/>
            <w:tcMar>
              <w:top w:type="dxa" w:w="70"/>
              <w:left w:type="dxa" w:w="90"/>
              <w:bottom w:type="dxa" w:w="70"/>
              <w:right w:type="dxa" w:w="90"/>
            </w:tcMar>
            <w:vAlign w:val="top"/>
          </w:tcPr>
          <w:p>
            <w:pPr>
              <w:spacing w:after="50" w:line="255"/>
            </w:pPr>
            <w:r>
              <w:rPr>
                <w:rFonts w:ascii="Arial" w:cs="Arial" w:eastAsia="Arial" w:hAnsi="Arial"/>
                <w:b/>
                <w:bCs/>
                <w:color w:val="15233B"/>
                <w:sz w:val="18"/>
                <w:szCs w:val="18"/>
              </w:rPr>
              <w:t xml:space="preserve">What applies</w:t>
            </w:r>
          </w:p>
        </w:tc>
      </w:tr>
      <w:tr>
        <w:trPr>
          <w:tblHeader w:val="false"/>
        </w:trPr>
        <w:tc>
          <w:tcPr>
            <w:tcW w:type="dxa" w:w="26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12.08.2026</w:t>
            </w:r>
          </w:p>
        </w:tc>
        <w:tc>
          <w:tcPr>
            <w:tcW w:type="dxa" w:w="6438"/>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Identifier and manufacturer details (Art. 15), importer details (Art. 18), ban on misleading information (Art. 12(8)), environmental claims (Art. 14), distributors' duty to check (Art. 19).</w:t>
            </w:r>
          </w:p>
        </w:tc>
      </w:tr>
      <w:tr>
        <w:trPr>
          <w:tblHeader w:val="false"/>
        </w:trPr>
        <w:tc>
          <w:tcPr>
            <w:tcW w:type="dxa" w:w="26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12.02.2027</w:t>
            </w:r>
          </w:p>
        </w:tc>
        <w:tc>
          <w:tcPr>
            <w:tcW w:type="dxa" w:w="6438"/>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EPR symbols digital in the QR code only (Art. 12(9)).</w:t>
            </w:r>
          </w:p>
        </w:tc>
      </w:tr>
      <w:tr>
        <w:trPr>
          <w:tblHeader w:val="false"/>
        </w:trPr>
        <w:tc>
          <w:tcPr>
            <w:tcW w:type="dxa" w:w="26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Open</w:t>
            </w:r>
          </w:p>
        </w:tc>
        <w:tc>
          <w:tcPr>
            <w:tcW w:type="dxa" w:w="6438"/>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Implementing acts under Art. 12(6) and (7) were due by 12 August 2026 and are still outstanding in September 2026. Their entry into force starts the 24- and 30-month periods.</w:t>
            </w:r>
          </w:p>
        </w:tc>
      </w:tr>
      <w:tr>
        <w:trPr>
          <w:tblHeader w:val="false"/>
        </w:trPr>
        <w:tc>
          <w:tcPr>
            <w:tcW w:type="dxa" w:w="26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12.08.2028</w:t>
            </w:r>
          </w:p>
        </w:tc>
        <w:tc>
          <w:tcPr>
            <w:tcW w:type="dxa" w:w="6438"/>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Earliest: harmonised sorting label (Art. 12(1)), harmonised recycled content label (para. 4). Fixed: end of the material numbers under 97/129/EC (Art. 70(2)).</w:t>
            </w:r>
          </w:p>
        </w:tc>
      </w:tr>
      <w:tr>
        <w:trPr>
          <w:tblHeader w:val="false"/>
        </w:trPr>
        <w:tc>
          <w:tcPr>
            <w:tcW w:type="dxa" w:w="26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12.02.2029</w:t>
            </w:r>
          </w:p>
        </w:tc>
        <w:tc>
          <w:tcPr>
            <w:tcW w:type="dxa" w:w="6438"/>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Earliest: labelling of reusable packaging with QR code (Art. 12(2)).</w:t>
            </w:r>
          </w:p>
        </w:tc>
      </w:tr>
      <w:tr>
        <w:trPr>
          <w:tblHeader w:val="false"/>
        </w:trPr>
        <w:tc>
          <w:tcPr>
            <w:tcW w:type="dxa" w:w="2600"/>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01.01.2030</w:t>
            </w:r>
          </w:p>
        </w:tc>
        <w:tc>
          <w:tcPr>
            <w:tcW w:type="dxa" w:w="6438"/>
            <w:tcBorders>
              <w:top w:val="single" w:color="C9D1DC" w:sz="4"/>
              <w:left w:val="single" w:color="C9D1DC" w:sz="4"/>
              <w:bottom w:val="single" w:color="C9D1DC" w:sz="4"/>
              <w:right w:val="single" w:color="C9D1DC" w:sz="4"/>
            </w:tcBorders>
            <w:tcMar>
              <w:top w:type="dxa" w:w="70"/>
              <w:left w:type="dxa" w:w="90"/>
              <w:bottom w:type="dxa" w:w="70"/>
              <w:right w:type="dxa" w:w="90"/>
            </w:tcMar>
            <w:vAlign w:val="top"/>
          </w:tcPr>
          <w:p>
            <w:pPr>
              <w:spacing w:after="50" w:line="255"/>
            </w:pPr>
            <w:r>
              <w:rPr>
                <w:rFonts w:ascii="Arial" w:cs="Arial" w:eastAsia="Arial" w:hAnsi="Arial"/>
                <w:b w:val="false"/>
                <w:bCs w:val="false"/>
                <w:color w:val="15233B"/>
                <w:sz w:val="18"/>
                <w:szCs w:val="18"/>
              </w:rPr>
              <w:t xml:space="preserve">At the latest: method for the digital declaration of substances of concern (Art. 12(7)).</w:t>
            </w:r>
          </w:p>
        </w:tc>
      </w:tr>
    </w:tbl>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1DC" w:sz="4" w:space="4"/>
      </w:pBdr>
      <w:tabs>
        <w:tab w:val="right" w:pos="9638"/>
      </w:tabs>
    </w:pPr>
    <w:r>
      <w:rPr>
        <w:rFonts w:ascii="Arial" w:cs="Arial" w:eastAsia="Arial" w:hAnsi="Arial"/>
        <w:color w:val="5C6672"/>
        <w:sz w:val="14"/>
        <w:szCs w:val="14"/>
      </w:rPr>
      <w:t xml:space="preserve">Roadmap provided by HRG Polygon One GmbH, polygon-one.com. As at September 2026. Not legal advice. The implementing acts on Article 12 were outstanding at the editorial deadline.</w:t>
    </w:r>
    <w:r>
      <w:rPr>
        <w:rFonts w:ascii="Arial" w:cs="Arial" w:eastAsia="Arial" w:hAnsi="Arial"/>
      </w:rPr>
      <w:t xml:space="preserve">	</w:t>
    </w:r>
    <w:r>
      <w:rPr>
        <w:rFonts w:ascii="Arial" w:cs="Arial" w:eastAsia="Arial" w:hAnsi="Arial"/>
        <w:color w:val="5C6672"/>
        <w:sz w:val="14"/>
        <w:szCs w:val="14"/>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D1DC" w:sz="4" w:space="4"/>
      </w:pBdr>
      <w:tabs>
        <w:tab w:val="right" w:pos="9638"/>
      </w:tabs>
      <w:spacing w:after="120"/>
    </w:pPr>
    <w:r>
      <w:rPr>
        <w:rFonts w:ascii="Arial" w:cs="Arial" w:eastAsia="Arial" w:hAnsi="Arial"/>
        <w:color w:val="5C6672"/>
        <w:sz w:val="16"/>
        <w:szCs w:val="16"/>
      </w:rPr>
      <w:t xml:space="preserve">PPWR labelling: roadmap and checklist under Articles 12, 14, 15 and 18 of Regulation (EU) 2025/40</w:t>
    </w:r>
    <w:r>
      <w:rPr>
        <w:rFonts w:ascii="Arial" w:cs="Arial" w:eastAsia="Arial" w:hAnsi="Arial"/>
      </w:rPr>
      <w:t xml:space="preserve">	</w:t>
    </w:r>
    <w:r>
      <w:drawing>
        <wp:inline distT="0" distB="0" distL="0" distR="0">
          <wp:extent cx="914400" cy="12858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14400" cy="128588"/>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5233B"/>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f7aa91b198ce0b46bce71dd75501b101bd0952c.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PPWR labelling: roadmap and checklist</dc:title>
  <dc:creator>HRG Polygon One GmbH</dc:creator>
  <cp:lastModifiedBy>Un-named</cp:lastModifiedBy>
  <cp:revision>1</cp:revision>
  <dcterms:created xsi:type="dcterms:W3CDTF">2026-09-04T16:37:46.674Z</dcterms:created>
  <dcterms:modified xsi:type="dcterms:W3CDTF">2026-09-04T16:37:46.674Z</dcterms:modified>
</cp:coreProperties>
</file>

<file path=docProps/custom.xml><?xml version="1.0" encoding="utf-8"?>
<Properties xmlns="http://schemas.openxmlformats.org/officeDocument/2006/custom-properties" xmlns:vt="http://schemas.openxmlformats.org/officeDocument/2006/docPropsVTypes"/>
</file>