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color w:val="15233B"/>
          <w:sz w:val="32"/>
          <w:szCs w:val="32"/>
        </w:rPr>
        <w:t xml:space="preserve">PPWR-Kennzeichnung: Fahrplan und Prüfliste</w:t>
      </w:r>
    </w:p>
    <w:p>
      <w:pPr>
        <w:spacing w:after="160"/>
      </w:pPr>
      <w:r>
        <w:rPr>
          <w:rFonts w:ascii="Arial" w:cs="Arial" w:eastAsia="Arial" w:hAnsi="Arial"/>
          <w:i/>
          <w:iCs/>
          <w:color w:val="5C6672"/>
          <w:sz w:val="18"/>
          <w:szCs w:val="18"/>
        </w:rPr>
        <w:t xml:space="preserve">Was wann auf die Verpackung muss, was schon jetzt nicht mehr darf, und wie Sie die Angaben nach Artikel 15 und 18 je Verpackung prüfen. Grundlage: VO (EU) 2025/40, Kommissionsleitfaden C/2026/3702, Kommissions-FAQ 2. Auflage (August 2026), VerpackDG.</w:t>
      </w:r>
    </w:p>
    <w:p>
      <w:pPr>
        <w:pStyle w:val="Heading1"/>
        <w:spacing w:after="160" w:before="240"/>
      </w:pPr>
      <w:r>
        <w:rPr>
          <w:rFonts w:ascii="Arial" w:cs="Arial" w:eastAsia="Arial" w:hAnsi="Arial"/>
          <w:b/>
          <w:bCs/>
          <w:color w:val="15233B"/>
          <w:sz w:val="32"/>
          <w:szCs w:val="32"/>
        </w:rPr>
        <w:t xml:space="preserve">Teil A: Fahrplan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700"/>
        <w:gridCol w:w="1500"/>
        <w:gridCol w:w="2200"/>
        <w:gridCol w:w="3238"/>
      </w:tblGrid>
      <w:tr>
        <w:trPr>
          <w:tblHeader/>
        </w:trPr>
        <w:tc>
          <w:tcPr>
            <w:tcW w:type="dxa" w:w="27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Pflicht</w:t>
            </w:r>
          </w:p>
        </w:tc>
        <w:tc>
          <w:tcPr>
            <w:tcW w:type="dxa" w:w="15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Rechtsgrundlage</w:t>
            </w:r>
          </w:p>
        </w:tc>
        <w:tc>
          <w:tcPr>
            <w:tcW w:type="dxa" w:w="22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Gilt ab</w:t>
            </w:r>
          </w:p>
        </w:tc>
        <w:tc>
          <w:tcPr>
            <w:tcW w:type="dxa" w:w="3238"/>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Ausnahmen, Hinweise</w:t>
            </w:r>
          </w:p>
        </w:tc>
      </w:tr>
      <w:tr>
        <w:trPr>
          <w:tblHeader w:val="false"/>
        </w:trPr>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Typen-, Chargen- oder Seriennummer</w:t>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Art. 15 Abs. 5</w:t>
            </w:r>
          </w:p>
        </w:tc>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12.08.2026</w:t>
            </w:r>
          </w:p>
        </w:tc>
        <w:tc>
          <w:tcPr>
            <w:tcW w:type="dxa" w:w="3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Typ, Charge oder Serie genügt, eine Komponente je Einheit; Begleitdokument, wenn Anbringen nicht möglich oder Altbestand (FAQ X.5, X.7, X.8)</w:t>
            </w:r>
          </w:p>
        </w:tc>
      </w:tr>
      <w:tr>
        <w:trPr>
          <w:tblHeader w:val="false"/>
        </w:trPr>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Name, Handelsname oder Marke, Postanschrift (zentrale Stelle), optional E-Mail</w:t>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Art. 15 Abs. 6, 7</w:t>
            </w:r>
          </w:p>
        </w:tc>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12.08.2026</w:t>
            </w:r>
          </w:p>
        </w:tc>
        <w:tc>
          <w:tcPr>
            <w:tcW w:type="dxa" w:w="3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Auf Verpackung, QR-Code oder Datenträger; sonst Begleitunterlagen. Klar, lesbar, nicht mit anderen Pflichtangaben verwechselbar</w:t>
            </w:r>
          </w:p>
        </w:tc>
      </w:tr>
      <w:tr>
        <w:trPr>
          <w:tblHeader w:val="false"/>
        </w:trPr>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Name und Anschrift des Importeurs</w:t>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Art. 18 Abs. 3</w:t>
            </w:r>
          </w:p>
        </w:tc>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12.08.2026</w:t>
            </w:r>
          </w:p>
        </w:tc>
        <w:tc>
          <w:tcPr>
            <w:tcW w:type="dxa" w:w="3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Zusätzlich zu den Erzeugerangaben</w:t>
            </w:r>
          </w:p>
        </w:tc>
      </w:tr>
      <w:tr>
        <w:trPr>
          <w:tblHeader w:val="false"/>
        </w:trPr>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Verbot irreführender Kennzeichen, Symbole, Aufschriften</w:t>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Art. 12 Abs. 8</w:t>
            </w:r>
          </w:p>
        </w:tc>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12.08.2026</w:t>
            </w:r>
          </w:p>
        </w:tc>
        <w:tc>
          <w:tcPr>
            <w:tcW w:type="dxa" w:w="3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Bezug: Nachhaltigkeitsanforderungen, Verpackungsmerkmale, Abfallbewirtschaftung. Ordnungswidrigkeit § 66 Abs. 2 Nr. 2 VerpackDG</w:t>
            </w:r>
          </w:p>
        </w:tc>
      </w:tr>
      <w:tr>
        <w:trPr>
          <w:tblHeader w:val="false"/>
        </w:trPr>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Umweltaussagen nur über Mindestanforderungen hinaus, mit Angabe des Bezugs, Nachweis in der technischen Dokumentation</w:t>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Art. 14</w:t>
            </w:r>
          </w:p>
        </w:tc>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12.08.2026</w:t>
            </w:r>
          </w:p>
        </w:tc>
        <w:tc>
          <w:tcPr>
            <w:tcW w:type="dxa" w:w="3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Einheit, Teil der Einheit oder alle Verpackungen angeben</w:t>
            </w:r>
          </w:p>
        </w:tc>
      </w:tr>
      <w:tr>
        <w:trPr>
          <w:tblHeader w:val="false"/>
        </w:trPr>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Vertreiber prüfen Angaben vor Bereitstellung</w:t>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Art. 19 Abs. 2, 3</w:t>
            </w:r>
          </w:p>
        </w:tc>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12.08.2026</w:t>
            </w:r>
          </w:p>
        </w:tc>
        <w:tc>
          <w:tcPr>
            <w:tcW w:type="dxa" w:w="3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Ohne Angaben keine Bereitstellung</w:t>
            </w:r>
          </w:p>
        </w:tc>
      </w:tr>
      <w:tr>
        <w:trPr>
          <w:tblHeader w:val="false"/>
        </w:trPr>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EPR-Symbole nur digital (QR-Code)</w:t>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Art. 12 Abs. 9</w:t>
            </w:r>
          </w:p>
        </w:tc>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12.02.2027</w:t>
            </w:r>
          </w:p>
        </w:tc>
        <w:tc>
          <w:tcPr>
            <w:tcW w:type="dxa" w:w="3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Gedruckte Systemzeichen wie der Grüne Punkt nach Lesart der Kommission nicht mehr zulässig</w:t>
            </w:r>
          </w:p>
        </w:tc>
      </w:tr>
      <w:tr>
        <w:trPr>
          <w:tblHeader w:val="false"/>
        </w:trPr>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Harmonisierte Sortierkennzeichnung mit Piktogrammen</w:t>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Art. 12 Abs. 1, 6, 7</w:t>
            </w:r>
          </w:p>
        </w:tc>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12.08.2028 oder 24 Monate nach dem Durchführungsrechtsakt, was später ist</w:t>
            </w:r>
          </w:p>
        </w:tc>
        <w:tc>
          <w:tcPr>
            <w:tcW w:type="dxa" w:w="3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Nicht für Transportverpackungen außer E-Commerce, nicht für Pfandverpackungen; Arzneimittel und Medizinprodukte nach Abs. 11. Rechtsakt Stand 09/2026 nicht erlassen</w:t>
            </w:r>
          </w:p>
        </w:tc>
      </w:tr>
      <w:tr>
        <w:trPr>
          <w:tblHeader w:val="false"/>
        </w:trPr>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Rezyklat- und biobasiert-Kennzeichnung, freiwillig, harmonisiert</w:t>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Art. 12 Abs. 4</w:t>
            </w:r>
          </w:p>
        </w:tc>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wie Sortierkennzeichnung</w:t>
            </w:r>
          </w:p>
        </w:tc>
        <w:tc>
          <w:tcPr>
            <w:tcW w:type="dxa" w:w="3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Nur nach den harmonisierten Spezifikationen und der Methode nach Art. 7 Abs. 8</w:t>
            </w:r>
          </w:p>
        </w:tc>
      </w:tr>
      <w:tr>
        <w:trPr>
          <w:tblHeader w:val="false"/>
        </w:trPr>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Ende der Materialnummern nach Entscheidung 97/129/EG</w:t>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Art. 70 Abs. 2, § 4 VerpackDG</w:t>
            </w:r>
          </w:p>
        </w:tc>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12.08.2028</w:t>
            </w:r>
          </w:p>
        </w:tc>
        <w:tc>
          <w:tcPr>
            <w:tcW w:type="dxa" w:w="3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Bis dahin freiwillig, andere Nummernsysteme unzulässig</w:t>
            </w:r>
          </w:p>
        </w:tc>
      </w:tr>
      <w:tr>
        <w:trPr>
          <w:tblHeader w:val="false"/>
        </w:trPr>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Übergang für vorher hergestellte Verpackungen</w:t>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Art. 12 Abs. 12</w:t>
            </w:r>
          </w:p>
        </w:tc>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3 Jahre ab Beginn der Kennzeichnungspflicht</w:t>
            </w:r>
          </w:p>
        </w:tc>
        <w:tc>
          <w:tcPr>
            <w:tcW w:type="dxa" w:w="3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Gilt für Abs. 1, 2 und 4</w:t>
            </w:r>
          </w:p>
        </w:tc>
      </w:tr>
      <w:tr>
        <w:trPr>
          <w:tblHeader w:val="false"/>
        </w:trPr>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Kennzeichnung wiederverwendbarer Verpackungen plus QR-Code</w:t>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Art. 12 Abs. 2, 3</w:t>
            </w:r>
          </w:p>
        </w:tc>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12.02.2029 oder 30 Monate nach dem Durchführungsrechtsakt</w:t>
            </w:r>
          </w:p>
        </w:tc>
        <w:tc>
          <w:tcPr>
            <w:tcW w:type="dxa" w:w="3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Nicht für offene Kreislaufsysteme ohne Systembetreiber</w:t>
            </w:r>
          </w:p>
        </w:tc>
      </w:tr>
      <w:tr>
        <w:trPr>
          <w:tblHeader w:val="false"/>
        </w:trPr>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Digitale Angabe besorgniserregender Stoffe</w:t>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Art. 12 Abs. 1 UAbs. 2, Abs. 7</w:t>
            </w:r>
          </w:p>
        </w:tc>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Nach der Methode, spätestens 01.01.2030 festgelegt</w:t>
            </w:r>
          </w:p>
        </w:tc>
        <w:tc>
          <w:tcPr>
            <w:tcW w:type="dxa" w:w="3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Mindestens Name und Konzentration je Material</w:t>
            </w:r>
          </w:p>
        </w:tc>
      </w:tr>
      <w:tr>
        <w:trPr>
          <w:tblHeader w:val="false"/>
        </w:trPr>
        <w:tc>
          <w:tcPr>
            <w:tcW w:type="dxa" w:w="2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Pfandkennzeichnung Einweggetränkeverpackungen</w:t>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46 Abs. 1 S. 3 VerpackDG</w:t>
            </w:r>
          </w:p>
        </w:tc>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weiterhin</w:t>
            </w:r>
          </w:p>
        </w:tc>
        <w:tc>
          <w:tcPr>
            <w:tcW w:type="dxa" w:w="32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Dauerhaft, deutlich lesbar, gut sichtbar; national geregelt, Farbkennzeichnung nach Art. 12 Abs. 1 UAbs. 4 möglich</w:t>
            </w:r>
          </w:p>
        </w:tc>
      </w:tr>
    </w:tbl>
    <w:p>
      <w:pPr>
        <w:pStyle w:val="Heading1"/>
        <w:spacing w:after="160" w:before="240"/>
      </w:pPr>
      <w:r>
        <w:rPr>
          <w:rFonts w:ascii="Arial" w:cs="Arial" w:eastAsia="Arial" w:hAnsi="Arial"/>
          <w:b/>
          <w:bCs/>
          <w:color w:val="15233B"/>
          <w:sz w:val="32"/>
          <w:szCs w:val="32"/>
        </w:rPr>
        <w:t xml:space="preserve">Teil B: Prüfliste Angaben nach Artikel 15 und 18 je Verpackung</w:t>
      </w:r>
    </w:p>
    <w:p>
      <w:pPr>
        <w:spacing w:after="160"/>
      </w:pPr>
      <w:r>
        <w:rPr>
          <w:rFonts w:ascii="Arial" w:cs="Arial" w:eastAsia="Arial" w:hAnsi="Arial"/>
          <w:i/>
          <w:iCs/>
          <w:color w:val="5C6672"/>
          <w:sz w:val="18"/>
          <w:szCs w:val="18"/>
        </w:rPr>
        <w:t xml:space="preserve">Eine Zeile je Verpackungsart. Nur ausfüllen, wo Sie Erzeuger (Art. 15) oder Importeur (Art. 18) sind. Lieferanten leerer Verpackungen trifft die Pflicht nicht.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1900"/>
        <w:gridCol w:w="1200"/>
        <w:gridCol w:w="1300"/>
        <w:gridCol w:w="1600"/>
        <w:gridCol w:w="1500"/>
        <w:gridCol w:w="1138"/>
        <w:gridCol w:w="1000"/>
      </w:tblGrid>
      <w:tr>
        <w:trPr>
          <w:tblHeader/>
        </w:trPr>
        <w:tc>
          <w:tcPr>
            <w:tcW w:type="dxa" w:w="19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Verpackungsart</w:t>
            </w:r>
          </w:p>
        </w:tc>
        <w:tc>
          <w:tcPr>
            <w:tcW w:type="dxa" w:w="12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Rolle: Erzeuger / Importeur</w:t>
            </w:r>
          </w:p>
        </w:tc>
        <w:tc>
          <w:tcPr>
            <w:tcW w:type="dxa" w:w="13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Kennung (Typ, Charge, Serie)</w:t>
            </w:r>
          </w:p>
        </w:tc>
        <w:tc>
          <w:tcPr>
            <w:tcW w:type="dxa" w:w="16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Name oder Marke, Anschrift zentrale Stelle</w:t>
            </w:r>
          </w:p>
        </w:tc>
        <w:tc>
          <w:tcPr>
            <w:tcW w:type="dxa" w:w="15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Ort: Verpackung / QR / Begleitdokument</w:t>
            </w:r>
          </w:p>
        </w:tc>
        <w:tc>
          <w:tcPr>
            <w:tcW w:type="dxa" w:w="1138"/>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Importeurangaben</w:t>
            </w:r>
          </w:p>
        </w:tc>
        <w:tc>
          <w:tcPr>
            <w:tcW w:type="dxa" w:w="10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Status</w:t>
            </w:r>
          </w:p>
        </w:tc>
      </w:tr>
      <w:tr>
        <w:trPr>
          <w:tblHeader w:val="false"/>
        </w:trPr>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1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bl>
    <w:p>
      <w:pPr>
        <w:pStyle w:val="Heading1"/>
        <w:spacing w:after="160" w:before="240"/>
      </w:pPr>
      <w:r>
        <w:rPr>
          <w:rFonts w:ascii="Arial" w:cs="Arial" w:eastAsia="Arial" w:hAnsi="Arial"/>
          <w:b/>
          <w:bCs/>
          <w:color w:val="15233B"/>
          <w:sz w:val="32"/>
          <w:szCs w:val="32"/>
        </w:rPr>
        <w:t xml:space="preserve">Teil C: Textbaustein für das Begleitdokument</w:t>
      </w:r>
    </w:p>
    <w:p>
      <w:pPr>
        <w:spacing w:after="160"/>
      </w:pPr>
      <w:r>
        <w:rPr>
          <w:rFonts w:ascii="Arial" w:cs="Arial" w:eastAsia="Arial" w:hAnsi="Arial"/>
          <w:i/>
          <w:iCs/>
          <w:color w:val="5C6672"/>
          <w:sz w:val="18"/>
          <w:szCs w:val="18"/>
        </w:rPr>
        <w:t xml:space="preserve">Für Altbestände (vor dem 12.08.2026 hergestellt) und für Verpackungen, deren Größe oder Art das Anbringen nicht zulässt. Deutsch und Englisch, Platzhalter ersetzen.</w:t>
      </w:r>
    </w:p>
    <w:p>
      <w:pPr>
        <w:spacing w:after="120" w:line="276"/>
      </w:pPr>
      <w:r>
        <w:rPr>
          <w:rFonts w:ascii="Arial" w:cs="Arial" w:eastAsia="Arial" w:hAnsi="Arial"/>
          <w:b/>
          <w:bCs/>
          <w:color w:val="15233B"/>
          <w:sz w:val="20"/>
          <w:szCs w:val="20"/>
        </w:rPr>
        <w:t xml:space="preserve">Angaben nach Artikel 15 Absätze 5 und 6 der Verordnung (EU) 2025/40 zur Verpackung des beiliegenden Produkts</w:t>
      </w:r>
    </w:p>
    <w:p>
      <w:pPr>
        <w:spacing w:after="60"/>
        <w:ind w:left="360"/>
      </w:pPr>
      <w:r>
        <w:rPr>
          <w:rFonts w:ascii="Arial" w:cs="Arial" w:eastAsia="Arial" w:hAnsi="Arial"/>
          <w:i/>
          <w:iCs/>
          <w:color w:val="5C6672"/>
          <w:sz w:val="20"/>
          <w:szCs w:val="20"/>
        </w:rPr>
        <w:t xml:space="preserve">Verpackung: [Verpackungsart, Typ, Charge oder Serie]</w:t>
      </w:r>
    </w:p>
    <w:p>
      <w:pPr>
        <w:spacing w:after="60"/>
        <w:ind w:left="360"/>
      </w:pPr>
      <w:r>
        <w:rPr>
          <w:rFonts w:ascii="Arial" w:cs="Arial" w:eastAsia="Arial" w:hAnsi="Arial"/>
          <w:i/>
          <w:iCs/>
          <w:color w:val="5C6672"/>
          <w:sz w:val="20"/>
          <w:szCs w:val="20"/>
        </w:rPr>
        <w:t xml:space="preserve">Erzeuger: [Name, eingetragener Handelsname oder eingetragene Marke]</w:t>
      </w:r>
    </w:p>
    <w:p>
      <w:pPr>
        <w:spacing w:after="60"/>
        <w:ind w:left="360"/>
      </w:pPr>
      <w:r>
        <w:rPr>
          <w:rFonts w:ascii="Arial" w:cs="Arial" w:eastAsia="Arial" w:hAnsi="Arial"/>
          <w:i/>
          <w:iCs/>
          <w:color w:val="5C6672"/>
          <w:sz w:val="20"/>
          <w:szCs w:val="20"/>
        </w:rPr>
        <w:t xml:space="preserve">Postanschrift (zentrale Stelle): [Straße, PLZ, Ort, Land]</w:t>
      </w:r>
    </w:p>
    <w:p>
      <w:pPr>
        <w:spacing w:after="60"/>
        <w:ind w:left="360"/>
      </w:pPr>
      <w:r>
        <w:rPr>
          <w:rFonts w:ascii="Arial" w:cs="Arial" w:eastAsia="Arial" w:hAnsi="Arial"/>
          <w:i/>
          <w:iCs/>
          <w:color w:val="5C6672"/>
          <w:sz w:val="20"/>
          <w:szCs w:val="20"/>
        </w:rPr>
        <w:t xml:space="preserve">Kontakt: [E-Mail oder andere elektronische Kontaktmöglichkeit]</w:t>
      </w:r>
    </w:p>
    <w:p>
      <w:pPr>
        <w:spacing w:after="60"/>
        <w:ind w:left="360"/>
      </w:pPr>
      <w:r>
        <w:rPr>
          <w:rFonts w:ascii="Arial" w:cs="Arial" w:eastAsia="Arial" w:hAnsi="Arial"/>
          <w:i/>
          <w:iCs/>
          <w:color w:val="5C6672"/>
          <w:sz w:val="20"/>
          <w:szCs w:val="20"/>
        </w:rPr>
        <w:t xml:space="preserve">Importeur (falls zutreffend, Artikel 18 Absatz 3): [Name, Anschrift]</w:t>
      </w:r>
    </w:p>
    <w:p>
      <w:pPr>
        <w:spacing w:after="60"/>
        <w:ind w:left="360"/>
      </w:pPr>
      <w:r>
        <w:rPr>
          <w:rFonts w:ascii="Arial" w:cs="Arial" w:eastAsia="Arial" w:hAnsi="Arial"/>
          <w:i/>
          <w:iCs/>
          <w:color w:val="5C6672"/>
          <w:sz w:val="20"/>
          <w:szCs w:val="20"/>
        </w:rPr>
        <w:t xml:space="preserve">Die Angaben werden in diesem Begleitdokument bereitgestellt, weil [die Verpackung vor dem 12. August 2026 hergestellt wurde / Größe oder Art der Verpackung das Anbringen nicht zulassen].</w:t>
      </w:r>
    </w:p>
    <w:p>
      <w:pPr>
        <w:spacing w:after="120" w:line="276"/>
      </w:pPr>
      <w:r>
        <w:rPr>
          <w:rFonts w:ascii="Arial" w:cs="Arial" w:eastAsia="Arial" w:hAnsi="Arial"/>
          <w:b/>
          <w:bCs/>
          <w:color w:val="15233B"/>
          <w:sz w:val="20"/>
          <w:szCs w:val="20"/>
        </w:rPr>
        <w:t xml:space="preserve">Information pursuant to Article 15(5) and (6) of Regulation (EU) 2025/40 on the packaging of the accompanying product</w:t>
      </w:r>
    </w:p>
    <w:p>
      <w:pPr>
        <w:spacing w:after="60"/>
        <w:ind w:left="360"/>
      </w:pPr>
      <w:r>
        <w:rPr>
          <w:rFonts w:ascii="Arial" w:cs="Arial" w:eastAsia="Arial" w:hAnsi="Arial"/>
          <w:i/>
          <w:iCs/>
          <w:color w:val="5C6672"/>
          <w:sz w:val="20"/>
          <w:szCs w:val="20"/>
        </w:rPr>
        <w:t xml:space="preserve">Packaging: [packaging type, type/batch/serial number]</w:t>
      </w:r>
    </w:p>
    <w:p>
      <w:pPr>
        <w:spacing w:after="60"/>
        <w:ind w:left="360"/>
      </w:pPr>
      <w:r>
        <w:rPr>
          <w:rFonts w:ascii="Arial" w:cs="Arial" w:eastAsia="Arial" w:hAnsi="Arial"/>
          <w:i/>
          <w:iCs/>
          <w:color w:val="5C6672"/>
          <w:sz w:val="20"/>
          <w:szCs w:val="20"/>
        </w:rPr>
        <w:t xml:space="preserve">Manufacturer: [name, registered trade name or registered trade mark]</w:t>
      </w:r>
    </w:p>
    <w:p>
      <w:pPr>
        <w:spacing w:after="60"/>
        <w:ind w:left="360"/>
      </w:pPr>
      <w:r>
        <w:rPr>
          <w:rFonts w:ascii="Arial" w:cs="Arial" w:eastAsia="Arial" w:hAnsi="Arial"/>
          <w:i/>
          <w:iCs/>
          <w:color w:val="5C6672"/>
          <w:sz w:val="20"/>
          <w:szCs w:val="20"/>
        </w:rPr>
        <w:t xml:space="preserve">Postal address (single point of contact): [street, postcode, city, country]</w:t>
      </w:r>
    </w:p>
    <w:p>
      <w:pPr>
        <w:spacing w:after="60"/>
        <w:ind w:left="360"/>
      </w:pPr>
      <w:r>
        <w:rPr>
          <w:rFonts w:ascii="Arial" w:cs="Arial" w:eastAsia="Arial" w:hAnsi="Arial"/>
          <w:i/>
          <w:iCs/>
          <w:color w:val="5C6672"/>
          <w:sz w:val="20"/>
          <w:szCs w:val="20"/>
        </w:rPr>
        <w:t xml:space="preserve">Contact: [e-mail or other electronic means of communication]</w:t>
      </w:r>
    </w:p>
    <w:p>
      <w:pPr>
        <w:spacing w:after="60"/>
        <w:ind w:left="360"/>
      </w:pPr>
      <w:r>
        <w:rPr>
          <w:rFonts w:ascii="Arial" w:cs="Arial" w:eastAsia="Arial" w:hAnsi="Arial"/>
          <w:i/>
          <w:iCs/>
          <w:color w:val="5C6672"/>
          <w:sz w:val="20"/>
          <w:szCs w:val="20"/>
        </w:rPr>
        <w:t xml:space="preserve">Importer (where applicable, Article 18(3)): [name, address]</w:t>
      </w:r>
    </w:p>
    <w:p>
      <w:pPr>
        <w:spacing w:after="60"/>
        <w:ind w:left="360"/>
      </w:pPr>
      <w:r>
        <w:rPr>
          <w:rFonts w:ascii="Arial" w:cs="Arial" w:eastAsia="Arial" w:hAnsi="Arial"/>
          <w:i/>
          <w:iCs/>
          <w:color w:val="5C6672"/>
          <w:sz w:val="20"/>
          <w:szCs w:val="20"/>
        </w:rPr>
        <w:t xml:space="preserve">This information is provided in an accompanying document because [the packaging was manufactured before 12 August 2026 / the size or nature of the packaging does not allow it to be affixed].</w:t>
      </w:r>
    </w:p>
    <w:p>
      <w:r>
        <w:br w:type="page"/>
      </w:r>
    </w:p>
    <w:p>
      <w:pPr>
        <w:pStyle w:val="Heading1"/>
        <w:spacing w:after="160" w:before="240"/>
      </w:pPr>
      <w:r>
        <w:rPr>
          <w:rFonts w:ascii="Arial" w:cs="Arial" w:eastAsia="Arial" w:hAnsi="Arial"/>
          <w:b/>
          <w:bCs/>
          <w:color w:val="15233B"/>
          <w:sz w:val="32"/>
          <w:szCs w:val="32"/>
        </w:rPr>
        <w:t xml:space="preserve">Teil D: Check für Symbole und Umweltaussagen</w:t>
      </w:r>
    </w:p>
    <w:p>
      <w:pPr>
        <w:spacing w:after="160"/>
      </w:pPr>
      <w:r>
        <w:rPr>
          <w:rFonts w:ascii="Arial" w:cs="Arial" w:eastAsia="Arial" w:hAnsi="Arial"/>
          <w:i/>
          <w:iCs/>
          <w:color w:val="5C6672"/>
          <w:sz w:val="18"/>
          <w:szCs w:val="18"/>
        </w:rPr>
        <w:t xml:space="preserve">Für jedes Symbol und jede Aussage auf der Verpackung: Art. 12 Abs. 8 (Irreführung), Art. 14 (Umweltaussagen), Art. 12 Abs. 9 (EPR-Symbole ab 12.02.2027), Art. 70 Abs. 2 und § 4 VerpackDG (Materialnummern).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200"/>
        <w:gridCol w:w="1700"/>
        <w:gridCol w:w="1500"/>
        <w:gridCol w:w="1900"/>
        <w:gridCol w:w="1338"/>
        <w:gridCol w:w="1000"/>
      </w:tblGrid>
      <w:tr>
        <w:trPr>
          <w:tblHeader/>
        </w:trPr>
        <w:tc>
          <w:tcPr>
            <w:tcW w:type="dxa" w:w="22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Symbol oder Aussage</w:t>
            </w:r>
          </w:p>
        </w:tc>
        <w:tc>
          <w:tcPr>
            <w:tcW w:type="dxa" w:w="17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Bezug: Einheit, Teil, alle Verpackungen</w:t>
            </w:r>
          </w:p>
        </w:tc>
        <w:tc>
          <w:tcPr>
            <w:tcW w:type="dxa" w:w="15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Über Mindestanforderung hinaus?</w:t>
            </w:r>
          </w:p>
        </w:tc>
        <w:tc>
          <w:tcPr>
            <w:tcW w:type="dxa" w:w="19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Kriterium oder Methode der Verordnung</w:t>
            </w:r>
          </w:p>
        </w:tc>
        <w:tc>
          <w:tcPr>
            <w:tcW w:type="dxa" w:w="1338"/>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Nachweis in technischer Dokumentation</w:t>
            </w:r>
          </w:p>
        </w:tc>
        <w:tc>
          <w:tcPr>
            <w:tcW w:type="dxa" w:w="10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Entscheidung: behalten / ändern / streichen</w:t>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r>
        <w:trPr>
          <w:tblHeader w:val="false"/>
        </w:trPr>
        <w:tc>
          <w:tcPr>
            <w:tcW w:type="dxa" w:w="22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7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5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9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3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c>
          <w:tcPr>
            <w:tcW w:type="dxa" w:w="10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
            </w:r>
          </w:p>
        </w:tc>
      </w:tr>
    </w:tbl>
    <w:p>
      <w:pPr>
        <w:pStyle w:val="Heading2"/>
        <w:spacing w:after="120" w:before="280"/>
      </w:pPr>
      <w:r>
        <w:rPr>
          <w:rFonts w:ascii="Arial" w:cs="Arial" w:eastAsia="Arial" w:hAnsi="Arial"/>
          <w:b/>
          <w:bCs/>
          <w:color w:val="1F63B3"/>
          <w:sz w:val="24"/>
          <w:szCs w:val="24"/>
        </w:rPr>
        <w:t xml:space="preserve">Leitfragen</w:t>
      </w:r>
    </w:p>
    <w:p>
      <w:pPr>
        <w:spacing w:after="120" w:line="276"/>
      </w:pPr>
      <w:r>
        <w:rPr>
          <w:rFonts w:ascii="Arial" w:cs="Arial" w:eastAsia="Arial" w:hAnsi="Arial"/>
          <w:color w:val="15233B"/>
          <w:sz w:val="20"/>
          <w:szCs w:val="20"/>
        </w:rPr>
        <w:t xml:space="preserve">Kann die Aussage Verbraucher zu einer Entscheidung veranlassen, die sie sonst nicht getroffen hätten (FAQ VIII.2)? Bezieht sie sich auf eine Eigenschaft, für die die Verordnung Anforderungen festlegt, und geht sie über die Mindestanforderung hinaus (Art. 14 a)? Ist der Bezug angegeben (Art. 14 b)? Ist das Recyclingsymbol durch eine Bewertung nach der Verordnung gedeckt, obwohl die Methode nach Art. 6 noch fehlt? Ist das EPR-Symbol bis 12.02.2027 in den QR-Code verlagert?</w:t>
      </w:r>
    </w:p>
    <w:p>
      <w:pPr>
        <w:pStyle w:val="Heading1"/>
        <w:spacing w:after="160" w:before="240"/>
      </w:pPr>
      <w:r>
        <w:rPr>
          <w:rFonts w:ascii="Arial" w:cs="Arial" w:eastAsia="Arial" w:hAnsi="Arial"/>
          <w:b/>
          <w:bCs/>
          <w:color w:val="15233B"/>
          <w:sz w:val="32"/>
          <w:szCs w:val="32"/>
        </w:rPr>
        <w:t xml:space="preserve">Teil E: Termine</w:t>
      </w:r>
    </w:p>
    <w:tbl>
      <w:tblPr>
        <w:tblW w:type="dxa" w:w="9038"/>
        <w:tblBorders>
          <w:top w:val="single" w:color="auto" w:sz="4"/>
          <w:left w:val="single" w:color="auto" w:sz="4"/>
          <w:bottom w:val="single" w:color="auto" w:sz="4"/>
          <w:right w:val="single" w:color="auto" w:sz="4"/>
          <w:insideH w:val="single" w:color="auto" w:sz="4"/>
          <w:insideV w:val="single" w:color="auto" w:sz="4"/>
        </w:tblBorders>
      </w:tblPr>
      <w:tblGrid>
        <w:gridCol w:w="2600"/>
        <w:gridCol w:w="6438"/>
      </w:tblGrid>
      <w:tr>
        <w:trPr>
          <w:tblHeader/>
        </w:trPr>
        <w:tc>
          <w:tcPr>
            <w:tcW w:type="dxa" w:w="2600"/>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Datum</w:t>
            </w:r>
          </w:p>
        </w:tc>
        <w:tc>
          <w:tcPr>
            <w:tcW w:type="dxa" w:w="6438"/>
            <w:tcBorders>
              <w:top w:val="single" w:color="C9D1DC" w:sz="4"/>
              <w:left w:val="single" w:color="C9D1DC" w:sz="4"/>
              <w:bottom w:val="single" w:color="C9D1DC" w:sz="4"/>
              <w:right w:val="single" w:color="C9D1DC" w:sz="4"/>
            </w:tcBorders>
            <w:shd w:fill="E9F0FA" w:color="auto" w:val="clear"/>
            <w:tcMar>
              <w:top w:type="dxa" w:w="70"/>
              <w:left w:type="dxa" w:w="90"/>
              <w:bottom w:type="dxa" w:w="70"/>
              <w:right w:type="dxa" w:w="90"/>
            </w:tcMar>
            <w:vAlign w:val="top"/>
          </w:tcPr>
          <w:p>
            <w:pPr>
              <w:spacing w:after="50" w:line="255"/>
            </w:pPr>
            <w:r>
              <w:rPr>
                <w:rFonts w:ascii="Arial" w:cs="Arial" w:eastAsia="Arial" w:hAnsi="Arial"/>
                <w:b/>
                <w:bCs/>
                <w:color w:val="15233B"/>
                <w:sz w:val="18"/>
                <w:szCs w:val="18"/>
              </w:rPr>
              <w:t xml:space="preserve">Was gilt</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12.08.2026</w:t>
            </w:r>
          </w:p>
        </w:tc>
        <w:tc>
          <w:tcPr>
            <w:tcW w:type="dxa" w:w="64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Kennung und Erzeugerangaben (Art. 15), Importeurangaben (Art. 18), Irreführungsverbot (Art. 12 Abs. 8), Umweltaussagen (Art. 14), Prüfpflicht der Vertreiber (Art. 19).</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12.02.2027</w:t>
            </w:r>
          </w:p>
        </w:tc>
        <w:tc>
          <w:tcPr>
            <w:tcW w:type="dxa" w:w="64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EPR-Symbole nur noch digital im QR-Code (Art. 12 Abs. 9).</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Offen</w:t>
            </w:r>
          </w:p>
        </w:tc>
        <w:tc>
          <w:tcPr>
            <w:tcW w:type="dxa" w:w="64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Durchführungsrechtsakte nach Art. 12 Abs. 6 und 7 waren bis 12.08.2026 fällig und stehen im September 2026 aus. Mit ihrem Inkrafttreten beginnen die 24- und 30-Monats-Fristen.</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12.08.2028</w:t>
            </w:r>
          </w:p>
        </w:tc>
        <w:tc>
          <w:tcPr>
            <w:tcW w:type="dxa" w:w="64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Frühestens: harmonisierte Sortierkennzeichnung (Art. 12 Abs. 1), harmonisierte Rezyklatkennzeichnung (Abs. 4). Fix: Ende der Materialnummern nach 97/129/EG (Art. 70 Abs. 2).</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12.02.2029</w:t>
            </w:r>
          </w:p>
        </w:tc>
        <w:tc>
          <w:tcPr>
            <w:tcW w:type="dxa" w:w="64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Frühestens: Kennzeichnung wiederverwendbarer Verpackungen mit QR-Code (Art. 12 Abs. 2).</w:t>
            </w:r>
          </w:p>
        </w:tc>
      </w:tr>
      <w:tr>
        <w:trPr>
          <w:tblHeader w:val="false"/>
        </w:trPr>
        <w:tc>
          <w:tcPr>
            <w:tcW w:type="dxa" w:w="2600"/>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01.01.2030</w:t>
            </w:r>
          </w:p>
        </w:tc>
        <w:tc>
          <w:tcPr>
            <w:tcW w:type="dxa" w:w="6438"/>
            <w:tcBorders>
              <w:top w:val="single" w:color="C9D1DC" w:sz="4"/>
              <w:left w:val="single" w:color="C9D1DC" w:sz="4"/>
              <w:bottom w:val="single" w:color="C9D1DC" w:sz="4"/>
              <w:right w:val="single" w:color="C9D1DC" w:sz="4"/>
            </w:tcBorders>
            <w:tcMar>
              <w:top w:type="dxa" w:w="70"/>
              <w:left w:type="dxa" w:w="90"/>
              <w:bottom w:type="dxa" w:w="70"/>
              <w:right w:type="dxa" w:w="90"/>
            </w:tcMar>
            <w:vAlign w:val="top"/>
          </w:tcPr>
          <w:p>
            <w:pPr>
              <w:spacing w:after="50" w:line="255"/>
            </w:pPr>
            <w:r>
              <w:rPr>
                <w:rFonts w:ascii="Arial" w:cs="Arial" w:eastAsia="Arial" w:hAnsi="Arial"/>
                <w:b w:val="false"/>
                <w:bCs w:val="false"/>
                <w:color w:val="15233B"/>
                <w:sz w:val="18"/>
                <w:szCs w:val="18"/>
              </w:rPr>
              <w:t xml:space="preserve">Spätestens: Methode für die digitale Angabe besorgniserregender Stoffe (Art. 12 Abs. 7).</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1DC" w:sz="4" w:space="4"/>
      </w:pBdr>
      <w:tabs>
        <w:tab w:val="right" w:pos="9638"/>
      </w:tabs>
    </w:pPr>
    <w:r>
      <w:rPr>
        <w:rFonts w:ascii="Arial" w:cs="Arial" w:eastAsia="Arial" w:hAnsi="Arial"/>
        <w:color w:val="5C6672"/>
        <w:sz w:val="14"/>
        <w:szCs w:val="14"/>
      </w:rPr>
      <w:t xml:space="preserve">Fahrplan bereitgestellt von Polygon One GmbH, polygon-one.com. Stand September 2026. Keine Rechtsberatung. Die Durchführungsrechtsakte zu Artikel 12 standen bei Redaktionsschluss aus.</w:t>
    </w:r>
    <w:r>
      <w:rPr>
        <w:rFonts w:ascii="Arial" w:cs="Arial" w:eastAsia="Arial" w:hAnsi="Arial"/>
      </w:rPr>
      <w:t xml:space="preserve">	</w:t>
    </w:r>
    <w:r>
      <w:rPr>
        <w:rFonts w:ascii="Arial" w:cs="Arial" w:eastAsia="Arial" w:hAnsi="Arial"/>
        <w:color w:val="5C6672"/>
        <w:sz w:val="14"/>
        <w:szCs w:val="14"/>
      </w:rPr>
      <w:t xml:space="preserve">Seite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1DC" w:sz="4" w:space="4"/>
      </w:pBdr>
      <w:tabs>
        <w:tab w:val="right" w:pos="9638"/>
      </w:tabs>
      <w:spacing w:after="120"/>
    </w:pPr>
    <w:r>
      <w:rPr>
        <w:rFonts w:ascii="Arial" w:cs="Arial" w:eastAsia="Arial" w:hAnsi="Arial"/>
        <w:color w:val="5C6672"/>
        <w:sz w:val="16"/>
        <w:szCs w:val="16"/>
      </w:rPr>
      <w:t xml:space="preserve">PPWR-Kennzeichnung: Fahrplan und Prüfliste nach Artikel 12, 14, 15 und 18 der Verordnung (EU) 2025/40</w:t>
    </w:r>
    <w:r>
      <w:rPr>
        <w:rFonts w:ascii="Arial" w:cs="Arial" w:eastAsia="Arial" w:hAnsi="Arial"/>
      </w:rPr>
      <w:t xml:space="preserve">	</w:t>
    </w:r>
    <w:r>
      <w:drawing>
        <wp:inline distT="0" distB="0" distL="0" distR="0">
          <wp:extent cx="914400" cy="12858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914400" cy="128588"/>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5233B"/>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f7aa91b198ce0b46bce71dd75501b101bd0952c.jp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PPWR-Kennzeichnung: Fahrplan und Prüfliste</dc:title>
  <dc:creator>Polygon One GmbH</dc:creator>
  <cp:lastModifiedBy>Un-named</cp:lastModifiedBy>
  <cp:revision>1</cp:revision>
  <dcterms:created xsi:type="dcterms:W3CDTF">2026-09-04T16:37:46.674Z</dcterms:created>
  <dcterms:modified xsi:type="dcterms:W3CDTF">2026-09-04T16:37:46.674Z</dcterms:modified>
</cp:coreProperties>
</file>

<file path=docProps/custom.xml><?xml version="1.0" encoding="utf-8"?>
<Properties xmlns="http://schemas.openxmlformats.org/officeDocument/2006/custom-properties" xmlns:vt="http://schemas.openxmlformats.org/officeDocument/2006/docPropsVTypes"/>
</file>