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15233B"/>
          <w:sz w:val="32"/>
          <w:szCs w:val="32"/>
        </w:rPr>
        <w:t xml:space="preserve">EU declaration of conformity No. </w:t>
      </w:r>
      <w:r>
        <w:rPr>
          <w:rFonts w:ascii="Arial" w:cs="Arial" w:eastAsia="Arial" w:hAnsi="Arial"/>
          <w:b/>
          <w:bCs/>
          <w:color w:val="5C6672"/>
          <w:sz w:val="32"/>
          <w:szCs w:val="32"/>
        </w:rPr>
        <w:t xml:space="preserve">[DoC-2026-0001]</w:t>
      </w:r>
    </w:p>
    <w:p>
      <w:pPr>
        <w:spacing w:after="160"/>
      </w:pPr>
      <w:r>
        <w:rPr>
          <w:rFonts w:ascii="Arial" w:cs="Arial" w:eastAsia="Arial" w:hAnsi="Arial"/>
          <w:i/>
          <w:iCs/>
          <w:color w:val="5C6672"/>
          <w:sz w:val="18"/>
          <w:szCs w:val="18"/>
        </w:rPr>
        <w:t xml:space="preserve">Regulation (EU) 2025/40 on packaging and packaging waste, Article 39 and Annex VIII. One declaration per packaging type. Replace the grey placeholders, see the completion notes on page 2, English version on page 3.</w:t>
      </w:r>
    </w:p>
    <w:p>
      <w:pPr>
        <w:keepNext/>
        <w:spacing w:after="60" w:before="160"/>
      </w:pPr>
      <w:r>
        <w:rPr>
          <w:rFonts w:ascii="Arial" w:cs="Arial" w:eastAsia="Arial" w:hAnsi="Arial"/>
          <w:b/>
          <w:bCs/>
          <w:color w:val="15233B"/>
          <w:sz w:val="20"/>
          <w:szCs w:val="20"/>
        </w:rPr>
        <w:t xml:space="preserve">1. </w:t>
      </w:r>
      <w:r>
        <w:rPr>
          <w:rFonts w:ascii="Arial" w:cs="Arial" w:eastAsia="Arial" w:hAnsi="Arial"/>
          <w:b/>
          <w:bCs/>
          <w:color w:val="15233B"/>
          <w:sz w:val="20"/>
          <w:szCs w:val="20"/>
        </w:rPr>
        <w:t xml:space="preserve">No. (unique identification of the packaging):</w:t>
      </w:r>
    </w:p>
    <w:p>
      <w:pPr>
        <w:spacing w:after="60"/>
        <w:ind w:left="360"/>
      </w:pPr>
      <w:r>
        <w:rPr>
          <w:rFonts w:ascii="Arial" w:cs="Arial" w:eastAsia="Arial" w:hAnsi="Arial"/>
          <w:i/>
          <w:iCs/>
          <w:color w:val="5C6672"/>
          <w:sz w:val="20"/>
          <w:szCs w:val="20"/>
        </w:rPr>
        <w:t xml:space="preserve">[type, batch or serial number, e.g. folding carton type FS-0421, article number 40-0421, batches from 2026-09]</w:t>
      </w:r>
    </w:p>
    <w:p>
      <w:pPr>
        <w:keepNext/>
        <w:spacing w:after="60" w:before="160"/>
      </w:pPr>
      <w:r>
        <w:rPr>
          <w:rFonts w:ascii="Arial" w:cs="Arial" w:eastAsia="Arial" w:hAnsi="Arial"/>
          <w:b/>
          <w:bCs/>
          <w:color w:val="15233B"/>
          <w:sz w:val="20"/>
          <w:szCs w:val="20"/>
        </w:rPr>
        <w:t xml:space="preserve">2. </w:t>
      </w:r>
      <w:r>
        <w:rPr>
          <w:rFonts w:ascii="Arial" w:cs="Arial" w:eastAsia="Arial" w:hAnsi="Arial"/>
          <w:b/>
          <w:bCs/>
          <w:color w:val="15233B"/>
          <w:sz w:val="20"/>
          <w:szCs w:val="20"/>
        </w:rPr>
        <w:t xml:space="preserve">Name and address of the manufacturer and, where applicable, its authorised representative:</w:t>
      </w:r>
    </w:p>
    <w:p>
      <w:pPr>
        <w:spacing w:after="60"/>
        <w:ind w:left="360"/>
      </w:pPr>
      <w:r>
        <w:rPr>
          <w:rFonts w:ascii="Arial" w:cs="Arial" w:eastAsia="Arial" w:hAnsi="Arial"/>
          <w:i/>
          <w:iCs/>
          <w:color w:val="5C6672"/>
          <w:sz w:val="20"/>
          <w:szCs w:val="20"/>
        </w:rPr>
        <w:t xml:space="preserve">[company, street, postcode, city, country]</w:t>
      </w:r>
    </w:p>
    <w:p>
      <w:pPr>
        <w:spacing w:after="60"/>
        <w:ind w:left="360"/>
      </w:pPr>
      <w:r>
        <w:rPr>
          <w:rFonts w:ascii="Arial" w:cs="Arial" w:eastAsia="Arial" w:hAnsi="Arial"/>
          <w:i/>
          <w:iCs/>
          <w:color w:val="5C6672"/>
          <w:sz w:val="20"/>
          <w:szCs w:val="20"/>
        </w:rPr>
        <w:t xml:space="preserve">[authorised representative: company, address, or: none appointed]</w:t>
      </w:r>
    </w:p>
    <w:p>
      <w:pPr>
        <w:keepNext/>
        <w:spacing w:after="60" w:before="160"/>
      </w:pPr>
      <w:r>
        <w:rPr>
          <w:rFonts w:ascii="Arial" w:cs="Arial" w:eastAsia="Arial" w:hAnsi="Arial"/>
          <w:b/>
          <w:bCs/>
          <w:color w:val="15233B"/>
          <w:sz w:val="20"/>
          <w:szCs w:val="20"/>
        </w:rPr>
        <w:t xml:space="preserve">3. </w:t>
      </w:r>
      <w:r>
        <w:rPr>
          <w:rFonts w:ascii="Arial" w:cs="Arial" w:eastAsia="Arial" w:hAnsi="Arial"/>
          <w:b/>
          <w:bCs/>
          <w:color w:val="15233B"/>
          <w:sz w:val="20"/>
          <w:szCs w:val="20"/>
        </w:rPr>
        <w:t xml:space="preserve">This declaration of conformity is issued under the sole responsibility of the manufacturer.</w:t>
      </w:r>
    </w:p>
    <w:p>
      <w:pPr>
        <w:keepNext/>
        <w:spacing w:after="60" w:before="160"/>
      </w:pPr>
      <w:r>
        <w:rPr>
          <w:rFonts w:ascii="Arial" w:cs="Arial" w:eastAsia="Arial" w:hAnsi="Arial"/>
          <w:b/>
          <w:bCs/>
          <w:color w:val="15233B"/>
          <w:sz w:val="20"/>
          <w:szCs w:val="20"/>
        </w:rPr>
        <w:t xml:space="preserve">4. </w:t>
      </w:r>
      <w:r>
        <w:rPr>
          <w:rFonts w:ascii="Arial" w:cs="Arial" w:eastAsia="Arial" w:hAnsi="Arial"/>
          <w:b/>
          <w:bCs/>
          <w:color w:val="15233B"/>
          <w:sz w:val="20"/>
          <w:szCs w:val="20"/>
        </w:rPr>
        <w:t xml:space="preserve">Object of the declaration (identification of packaging allowing traceability): description of the packaging:</w:t>
      </w:r>
    </w:p>
    <w:p>
      <w:pPr>
        <w:spacing w:after="60"/>
        <w:ind w:left="360"/>
      </w:pPr>
      <w:r>
        <w:rPr>
          <w:rFonts w:ascii="Arial" w:cs="Arial" w:eastAsia="Arial" w:hAnsi="Arial"/>
          <w:i/>
          <w:iCs/>
          <w:color w:val="5C6672"/>
          <w:sz w:val="20"/>
          <w:szCs w:val="20"/>
        </w:rPr>
        <w:t xml:space="preserve">[packaging category and intended use, e.g. sales packaging for dry pasta, 500 g]</w:t>
      </w:r>
    </w:p>
    <w:p>
      <w:pPr>
        <w:spacing w:after="60"/>
        <w:ind w:left="360"/>
      </w:pPr>
      <w:r>
        <w:rPr>
          <w:rFonts w:ascii="Arial" w:cs="Arial" w:eastAsia="Arial" w:hAnsi="Arial"/>
          <w:i/>
          <w:iCs/>
          <w:color w:val="5C6672"/>
          <w:sz w:val="20"/>
          <w:szCs w:val="20"/>
        </w:rPr>
        <w:t xml:space="preserve">[design and materials, e.g. folding carton of GD2 solid board 300 g/m², inner bag BOPP 30 µm, PP window, four-colour print, dispersion varnish]</w:t>
      </w:r>
    </w:p>
    <w:p>
      <w:pPr>
        <w:spacing w:after="60"/>
        <w:ind w:left="360"/>
      </w:pPr>
      <w:r>
        <w:rPr>
          <w:rFonts w:ascii="Arial" w:cs="Arial" w:eastAsia="Arial" w:hAnsi="Arial"/>
          <w:i/>
          <w:iCs/>
          <w:color w:val="5C6672"/>
          <w:sz w:val="20"/>
          <w:szCs w:val="20"/>
        </w:rPr>
        <w:t xml:space="preserve">[components with supplier and article number, e.g. folding carton (Karton AG, K-5590), inner bag (Folienwerk GmbH, F-118), adhesive (Adhesiva SE, HM-40)]</w:t>
      </w:r>
    </w:p>
    <w:p>
      <w:pPr>
        <w:spacing w:after="60"/>
        <w:ind w:left="360"/>
      </w:pPr>
      <w:r>
        <w:rPr>
          <w:rFonts w:ascii="Arial" w:cs="Arial" w:eastAsia="Arial" w:hAnsi="Arial"/>
          <w:i/>
          <w:iCs/>
          <w:color w:val="5C6672"/>
          <w:sz w:val="20"/>
          <w:szCs w:val="20"/>
        </w:rPr>
        <w:t xml:space="preserve">[image: see Annex 1 of the technical documentation]</w:t>
      </w:r>
    </w:p>
    <w:p>
      <w:pPr>
        <w:keepNext/>
        <w:spacing w:after="60" w:before="160"/>
      </w:pPr>
      <w:r>
        <w:rPr>
          <w:rFonts w:ascii="Arial" w:cs="Arial" w:eastAsia="Arial" w:hAnsi="Arial"/>
          <w:b/>
          <w:bCs/>
          <w:color w:val="15233B"/>
          <w:sz w:val="20"/>
          <w:szCs w:val="20"/>
        </w:rPr>
        <w:t xml:space="preserve">5. </w:t>
      </w:r>
      <w:r>
        <w:rPr>
          <w:rFonts w:ascii="Arial" w:cs="Arial" w:eastAsia="Arial" w:hAnsi="Arial"/>
          <w:b/>
          <w:bCs/>
          <w:color w:val="15233B"/>
          <w:sz w:val="20"/>
          <w:szCs w:val="20"/>
        </w:rPr>
        <w:t xml:space="preserve">The object of the declaration described in point 4 is in conformity with the relevant Union harmonisation legislation:</w:t>
      </w:r>
    </w:p>
    <w:p>
      <w:pPr>
        <w:spacing w:after="60"/>
        <w:ind w:left="360"/>
      </w:pPr>
      <w:r>
        <w:rPr>
          <w:rFonts w:ascii="Arial" w:cs="Arial" w:eastAsia="Arial" w:hAnsi="Arial"/>
          <w:i/>
          <w:iCs/>
          <w:color w:val="5C6672"/>
          <w:sz w:val="20"/>
          <w:szCs w:val="20"/>
        </w:rPr>
        <w:t xml:space="preserve">Regulation (EU) 2025/40 on packaging and packaging waste (OJ L, 2025/40, 22.1.2025), [Article 5(1), (4) and (5), Article 6(1), Article 15(5) and (6)] as applicable at the date of issue.</w:t>
      </w:r>
    </w:p>
    <w:p>
      <w:pPr>
        <w:spacing w:after="60"/>
        <w:ind w:left="360"/>
      </w:pPr>
      <w:r>
        <w:rPr>
          <w:rFonts w:ascii="Arial" w:cs="Arial" w:eastAsia="Arial" w:hAnsi="Arial"/>
          <w:i/>
          <w:iCs/>
          <w:color w:val="5C6672"/>
          <w:sz w:val="20"/>
          <w:szCs w:val="20"/>
        </w:rPr>
        <w:t xml:space="preserve">[other Union acts with OJ reference, if a single declaration is drawn up for several acts, e.g. Regulation (EU) No 10/2011 for food-contact plastics, otherwise delete]</w:t>
      </w:r>
    </w:p>
    <w:p>
      <w:pPr>
        <w:keepNext/>
        <w:spacing w:after="60" w:before="160"/>
      </w:pPr>
      <w:r>
        <w:rPr>
          <w:rFonts w:ascii="Arial" w:cs="Arial" w:eastAsia="Arial" w:hAnsi="Arial"/>
          <w:b/>
          <w:bCs/>
          <w:color w:val="15233B"/>
          <w:sz w:val="20"/>
          <w:szCs w:val="20"/>
        </w:rPr>
        <w:t xml:space="preserve">6. </w:t>
      </w:r>
      <w:r>
        <w:rPr>
          <w:rFonts w:ascii="Arial" w:cs="Arial" w:eastAsia="Arial" w:hAnsi="Arial"/>
          <w:b/>
          <w:bCs/>
          <w:color w:val="15233B"/>
          <w:sz w:val="20"/>
          <w:szCs w:val="20"/>
        </w:rPr>
        <w:t xml:space="preserve">References to the relevant harmonised standards or common specifications used, or references to the other technical specifications in relation to which conformity is declared:</w:t>
      </w:r>
    </w:p>
    <w:p>
      <w:pPr>
        <w:spacing w:after="60"/>
        <w:ind w:left="360"/>
      </w:pPr>
      <w:r>
        <w:rPr>
          <w:rFonts w:ascii="Arial" w:cs="Arial" w:eastAsia="Arial" w:hAnsi="Arial"/>
          <w:i/>
          <w:iCs/>
          <w:color w:val="5C6672"/>
          <w:sz w:val="20"/>
          <w:szCs w:val="20"/>
        </w:rPr>
        <w:t xml:space="preserve">[e.g. CEN/CR 13695-1:2000 for determining heavy metal content; EN 13428:2004 as guidance without presumption of conformity; PFAS analysis method if food contact]</w:t>
      </w:r>
    </w:p>
    <w:p>
      <w:pPr>
        <w:keepNext/>
        <w:spacing w:after="60" w:before="160"/>
      </w:pPr>
      <w:r>
        <w:rPr>
          <w:rFonts w:ascii="Arial" w:cs="Arial" w:eastAsia="Arial" w:hAnsi="Arial"/>
          <w:b/>
          <w:bCs/>
          <w:color w:val="15233B"/>
          <w:sz w:val="20"/>
          <w:szCs w:val="20"/>
        </w:rPr>
        <w:t xml:space="preserve">7. </w:t>
      </w:r>
      <w:r>
        <w:rPr>
          <w:rFonts w:ascii="Arial" w:cs="Arial" w:eastAsia="Arial" w:hAnsi="Arial"/>
          <w:b/>
          <w:bCs/>
          <w:color w:val="15233B"/>
          <w:sz w:val="20"/>
          <w:szCs w:val="20"/>
        </w:rPr>
        <w:t xml:space="preserve">The notified body … has, where applicable, performed … and issued the following certificate(s):</w:t>
      </w:r>
    </w:p>
    <w:p>
      <w:pPr>
        <w:spacing w:after="60"/>
        <w:ind w:left="360"/>
      </w:pPr>
      <w:r>
        <w:rPr>
          <w:rFonts w:ascii="Arial" w:cs="Arial" w:eastAsia="Arial" w:hAnsi="Arial"/>
          <w:i/>
          <w:iCs/>
          <w:color w:val="5C6672"/>
          <w:sz w:val="20"/>
          <w:szCs w:val="20"/>
        </w:rPr>
        <w:t xml:space="preserve">Not applicable. Conformity assessment according to Annex VII, Module A (internal production control).</w:t>
      </w:r>
    </w:p>
    <w:p>
      <w:pPr>
        <w:keepNext/>
        <w:spacing w:after="60" w:before="160"/>
      </w:pPr>
      <w:r>
        <w:rPr>
          <w:rFonts w:ascii="Arial" w:cs="Arial" w:eastAsia="Arial" w:hAnsi="Arial"/>
          <w:b/>
          <w:bCs/>
          <w:color w:val="15233B"/>
          <w:sz w:val="20"/>
          <w:szCs w:val="20"/>
        </w:rPr>
        <w:t xml:space="preserve">8. </w:t>
      </w:r>
      <w:r>
        <w:rPr>
          <w:rFonts w:ascii="Arial" w:cs="Arial" w:eastAsia="Arial" w:hAnsi="Arial"/>
          <w:b/>
          <w:bCs/>
          <w:color w:val="15233B"/>
          <w:sz w:val="20"/>
          <w:szCs w:val="20"/>
        </w:rPr>
        <w:t xml:space="preserve">Additional information:</w:t>
      </w:r>
    </w:p>
    <w:p>
      <w:pPr>
        <w:spacing w:after="60"/>
        <w:ind w:left="360"/>
      </w:pPr>
      <w:r>
        <w:rPr>
          <w:rFonts w:ascii="Arial" w:cs="Arial" w:eastAsia="Arial" w:hAnsi="Arial"/>
          <w:i/>
          <w:iCs/>
          <w:color w:val="5C6672"/>
          <w:sz w:val="20"/>
          <w:szCs w:val="20"/>
        </w:rPr>
        <w:t xml:space="preserve">[technical documentation No. TD-2026-0001 dated DD/MM/YYYY]</w:t>
      </w:r>
    </w:p>
    <w:p>
      <w:pPr>
        <w:spacing w:after="60"/>
        <w:ind w:left="360"/>
      </w:pPr>
      <w:r>
        <w:rPr>
          <w:rFonts w:ascii="Arial" w:cs="Arial" w:eastAsia="Arial" w:hAnsi="Arial"/>
          <w:i/>
          <w:iCs/>
          <w:color w:val="5C6672"/>
          <w:sz w:val="20"/>
          <w:szCs w:val="20"/>
        </w:rPr>
        <w:t xml:space="preserve">[retention until DD/MM/YYYY (5 years from placing on the market, 10 years for reusable packaging)]</w:t>
      </w:r>
    </w:p>
    <w:p>
      <w:pPr>
        <w:spacing w:after="60"/>
        <w:ind w:left="360"/>
      </w:pPr>
      <w:r>
        <w:rPr>
          <w:rFonts w:ascii="Arial" w:cs="Arial" w:eastAsia="Arial" w:hAnsi="Arial"/>
          <w:i/>
          <w:iCs/>
          <w:color w:val="5C6672"/>
          <w:sz w:val="20"/>
          <w:szCs w:val="20"/>
        </w:rPr>
        <w:t xml:space="preserve">[replaces version No. … dated … / this declaration does not replace an earlier version]</w:t>
      </w:r>
    </w:p>
    <w:p>
      <w:pPr>
        <w:tabs>
          <w:tab w:val="right" w:pos="9638" w:leader="underscore"/>
        </w:tabs>
        <w:spacing w:after="60" w:before="200"/>
      </w:pPr>
      <w:r>
        <w:rPr>
          <w:rFonts w:ascii="Arial" w:cs="Arial" w:eastAsia="Arial" w:hAnsi="Arial"/>
          <w:color w:val="15233B"/>
          <w:sz w:val="20"/>
          <w:szCs w:val="20"/>
        </w:rPr>
        <w:t xml:space="preserve">Signed for and on behalf of:  </w:t>
      </w:r>
      <w:r>
        <w:rPr>
          <w:rFonts w:ascii="Arial" w:cs="Arial" w:eastAsia="Arial" w:hAnsi="Arial"/>
        </w:rPr>
        <w:t xml:space="preserve">	</w:t>
      </w:r>
    </w:p>
    <w:p>
      <w:pPr>
        <w:tabs>
          <w:tab w:val="right" w:pos="9638" w:leader="underscore"/>
        </w:tabs>
        <w:spacing w:after="60" w:before="200"/>
      </w:pPr>
      <w:r>
        <w:rPr>
          <w:rFonts w:ascii="Arial" w:cs="Arial" w:eastAsia="Arial" w:hAnsi="Arial"/>
          <w:color w:val="15233B"/>
          <w:sz w:val="20"/>
          <w:szCs w:val="20"/>
        </w:rPr>
        <w:t xml:space="preserve">Place and date of issue:  </w:t>
      </w:r>
      <w:r>
        <w:rPr>
          <w:rFonts w:ascii="Arial" w:cs="Arial" w:eastAsia="Arial" w:hAnsi="Arial"/>
        </w:rPr>
        <w:t xml:space="preserve">	</w:t>
      </w:r>
    </w:p>
    <w:p>
      <w:pPr>
        <w:tabs>
          <w:tab w:val="right" w:pos="9638" w:leader="underscore"/>
        </w:tabs>
        <w:spacing w:after="60" w:before="200"/>
      </w:pPr>
      <w:r>
        <w:rPr>
          <w:rFonts w:ascii="Arial" w:cs="Arial" w:eastAsia="Arial" w:hAnsi="Arial"/>
          <w:color w:val="15233B"/>
          <w:sz w:val="20"/>
          <w:szCs w:val="20"/>
        </w:rPr>
        <w:t xml:space="preserve">Name, function:  </w:t>
      </w:r>
      <w:r>
        <w:rPr>
          <w:rFonts w:ascii="Arial" w:cs="Arial" w:eastAsia="Arial" w:hAnsi="Arial"/>
        </w:rPr>
        <w:t xml:space="preserve">	</w:t>
      </w:r>
    </w:p>
    <w:p>
      <w:pPr>
        <w:tabs>
          <w:tab w:val="right" w:pos="9638" w:leader="underscore"/>
        </w:tabs>
        <w:spacing w:after="60" w:before="200"/>
      </w:pPr>
      <w:r>
        <w:rPr>
          <w:rFonts w:ascii="Arial" w:cs="Arial" w:eastAsia="Arial" w:hAnsi="Arial"/>
          <w:color w:val="15233B"/>
          <w:sz w:val="20"/>
          <w:szCs w:val="20"/>
        </w:rPr>
        <w:t xml:space="preserve">Signature:  </w:t>
      </w:r>
      <w:r>
        <w:rPr>
          <w:rFonts w:ascii="Arial" w:cs="Arial" w:eastAsia="Arial" w:hAnsi="Arial"/>
        </w:rPr>
        <w:t xml:space="preserve">	</w:t>
      </w:r>
    </w:p>
    <w:p>
      <w:r>
        <w:br w:type="page"/>
      </w:r>
    </w:p>
    <w:p>
      <w:pPr>
        <w:pStyle w:val="Heading1"/>
        <w:spacing w:after="160" w:before="240"/>
      </w:pPr>
      <w:r>
        <w:rPr>
          <w:rFonts w:ascii="Arial" w:cs="Arial" w:eastAsia="Arial" w:hAnsi="Arial"/>
          <w:b/>
          <w:bCs/>
          <w:color w:val="15233B"/>
          <w:sz w:val="32"/>
          <w:szCs w:val="32"/>
        </w:rPr>
        <w:t xml:space="preserve">Completion notes</w:t>
      </w:r>
    </w:p>
    <w:p>
      <w:pPr>
        <w:spacing w:after="160"/>
      </w:pPr>
      <w:r>
        <w:rPr>
          <w:rFonts w:ascii="Arial" w:cs="Arial" w:eastAsia="Arial" w:hAnsi="Arial"/>
          <w:i/>
          <w:iCs/>
          <w:color w:val="5C6672"/>
          <w:sz w:val="18"/>
          <w:szCs w:val="18"/>
        </w:rPr>
        <w:t xml:space="preserve">These notes are based on Regulation (EU) 2025/40, the Commission FAQ 2nd edition (August 2026) and Commission guidance C/2026/3702. As at September 2026.</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000"/>
        <w:gridCol w:w="4400"/>
        <w:gridCol w:w="4238"/>
      </w:tblGrid>
      <w:tr>
        <w:trPr>
          <w:tblHeader/>
        </w:trPr>
        <w:tc>
          <w:tcPr>
            <w:tcW w:type="dxa" w:w="10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Point</w:t>
            </w:r>
          </w:p>
        </w:tc>
        <w:tc>
          <w:tcPr>
            <w:tcW w:type="dxa" w:w="4400"/>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What belongs here</w:t>
            </w:r>
          </w:p>
        </w:tc>
        <w:tc>
          <w:tcPr>
            <w:tcW w:type="dxa" w:w="4238"/>
            <w:tcBorders>
              <w:top w:val="single" w:color="C9D1DC" w:sz="4"/>
              <w:left w:val="single" w:color="C9D1DC" w:sz="4"/>
              <w:bottom w:val="single" w:color="C9D1DC" w:sz="4"/>
              <w:right w:val="single" w:color="C9D1DC" w:sz="4"/>
            </w:tcBorders>
            <w:shd w:fill="E9F0FA" w:color="auto" w:val="clear"/>
            <w:tcMar>
              <w:top w:type="dxa" w:w="80"/>
              <w:left w:type="dxa" w:w="100"/>
              <w:bottom w:type="dxa" w:w="80"/>
              <w:right w:type="dxa" w:w="100"/>
            </w:tcMar>
            <w:vAlign w:val="top"/>
          </w:tcPr>
          <w:p>
            <w:pPr>
              <w:spacing w:after="60" w:line="260"/>
            </w:pPr>
            <w:r>
              <w:rPr>
                <w:rFonts w:ascii="Arial" w:cs="Arial" w:eastAsia="Arial" w:hAnsi="Arial"/>
                <w:b/>
                <w:bCs/>
                <w:color w:val="15233B"/>
                <w:sz w:val="20"/>
                <w:szCs w:val="20"/>
              </w:rPr>
              <w:t xml:space="preserve">Where it goes wrong in practice</w:t>
            </w:r>
          </w:p>
        </w:tc>
      </w:tr>
      <w:tr>
        <w:trPr>
          <w:tblHeader w:val="false"/>
        </w:trPr>
        <w:tc>
          <w:tcPr>
            <w:tcW w:type="dxa" w:w="1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1</w:t>
            </w:r>
          </w:p>
        </w:tc>
        <w:tc>
          <w:tcPr>
            <w:tcW w:type="dxa" w:w="4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The identifier of the packaging itself: type, batch or serial number (FAQ XV.3). Article number plus batch reference suffices if the link is unambiguous.</w:t>
            </w:r>
          </w:p>
        </w:tc>
        <w:tc>
          <w:tcPr>
            <w:tcW w:type="dxa" w:w="42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Only the article number of the packed product, not of the packaging.</w:t>
            </w:r>
          </w:p>
        </w:tc>
      </w:tr>
      <w:tr>
        <w:trPr>
          <w:tblHeader w:val="false"/>
        </w:trPr>
        <w:tc>
          <w:tcPr>
            <w:tcW w:type="dxa" w:w="1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2</w:t>
            </w:r>
          </w:p>
        </w:tc>
        <w:tc>
          <w:tcPr>
            <w:tcW w:type="dxa" w:w="4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The manufacturer under Art. 3(1)(13), not the EPR producer under Art. 44. For sales and grouped packaging usually the filler, for unbranded transport packaging the packaging producer.</w:t>
            </w:r>
          </w:p>
        </w:tc>
        <w:tc>
          <w:tcPr>
            <w:tcW w:type="dxa" w:w="42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The declaration is expected from the packaging supplier although the filler is the manufacturer, or vice versa.</w:t>
            </w:r>
          </w:p>
        </w:tc>
      </w:tr>
      <w:tr>
        <w:trPr>
          <w:tblHeader w:val="false"/>
        </w:trPr>
        <w:tc>
          <w:tcPr>
            <w:tcW w:type="dxa" w:w="1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3</w:t>
            </w:r>
          </w:p>
        </w:tc>
        <w:tc>
          <w:tcPr>
            <w:tcW w:type="dxa" w:w="4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Fixed wording, adopt unchanged.</w:t>
            </w:r>
          </w:p>
        </w:tc>
        <w:tc>
          <w:tcPr>
            <w:tcW w:type="dxa" w:w="42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Sometimes deleted or reworded to point at the supplier.</w:t>
            </w:r>
          </w:p>
        </w:tc>
      </w:tr>
      <w:tr>
        <w:trPr>
          <w:tblHeader w:val="false"/>
        </w:trPr>
        <w:tc>
          <w:tcPr>
            <w:tcW w:type="dxa" w:w="1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4</w:t>
            </w:r>
          </w:p>
        </w:tc>
        <w:tc>
          <w:tcPr>
            <w:tcW w:type="dxa" w:w="4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Describe it so the authority recognises the packaging: category, purpose, design, materials, components with supplier. One packaging unit, one declaration; the components are listed (FAQ XV.5). The same packaging in several sizes may be combined if size and product do not affect the requirements (FAQ XV.10).</w:t>
            </w:r>
          </w:p>
        </w:tc>
        <w:tc>
          <w:tcPr>
            <w:tcW w:type="dxa" w:w="42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One blanket declaration for the whole range with no link to the packaging type.</w:t>
            </w:r>
          </w:p>
        </w:tc>
      </w:tr>
      <w:tr>
        <w:trPr>
          <w:tblHeader w:val="false"/>
        </w:trPr>
        <w:tc>
          <w:tcPr>
            <w:tcW w:type="dxa" w:w="1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5</w:t>
            </w:r>
          </w:p>
        </w:tc>
        <w:tc>
          <w:tcPr>
            <w:tcW w:type="dxa" w:w="4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Name only the articles whose compliance is evidenced and which apply at the date of issue. Since 12 August 2026: Art. 5(1), (4) and (5) (PFAS only with food contact), Art. 6(1), for reusables Art. 11. Not yet: Art. 6(2), 7, 9, 10, 12.</w:t>
            </w:r>
          </w:p>
        </w:tc>
        <w:tc>
          <w:tcPr>
            <w:tcW w:type="dxa" w:w="42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A blanket “Articles 5 to 12”, although recyclability classes, recycled content and labelling do not yet apply.</w:t>
            </w:r>
          </w:p>
        </w:tc>
      </w:tr>
      <w:tr>
        <w:trPr>
          <w:tblHeader w:val="false"/>
        </w:trPr>
        <w:tc>
          <w:tcPr>
            <w:tcW w:type="dxa" w:w="1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6</w:t>
            </w:r>
          </w:p>
        </w:tc>
        <w:tc>
          <w:tcPr>
            <w:tcW w:type="dxa" w:w="4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The measurement and calculation methods used. Harmonised standards for the PPWR are not yet listed; old standards under Directive 94/62/EC give no presumption of conformity (recital 58) but may be cited as guidance.</w:t>
            </w:r>
          </w:p>
        </w:tc>
        <w:tc>
          <w:tcPr>
            <w:tcW w:type="dxa" w:w="42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Empty field, or standards nobody applied.</w:t>
            </w:r>
          </w:p>
        </w:tc>
      </w:tr>
      <w:tr>
        <w:trPr>
          <w:tblHeader w:val="false"/>
        </w:trPr>
        <w:tc>
          <w:tcPr>
            <w:tcW w:type="dxa" w:w="1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7</w:t>
            </w:r>
          </w:p>
        </w:tc>
        <w:tc>
          <w:tcPr>
            <w:tcW w:type="dxa" w:w="4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Under Module A there is no notified body. Enter “not applicable” with the reason.</w:t>
            </w:r>
          </w:p>
        </w:tc>
        <w:tc>
          <w:tcPr>
            <w:tcW w:type="dxa" w:w="42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An empty line that looks like an omission.</w:t>
            </w:r>
          </w:p>
        </w:tc>
      </w:tr>
      <w:tr>
        <w:trPr>
          <w:tblHeader w:val="false"/>
        </w:trPr>
        <w:tc>
          <w:tcPr>
            <w:tcW w:type="dxa" w:w="1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8</w:t>
            </w:r>
          </w:p>
        </w:tc>
        <w:tc>
          <w:tcPr>
            <w:tcW w:type="dxa" w:w="4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Number and date of the technical documentation, end of retention, note on superseded versions.</w:t>
            </w:r>
          </w:p>
        </w:tc>
        <w:tc>
          <w:tcPr>
            <w:tcW w:type="dxa" w:w="42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No link to the documentation, no versioning.</w:t>
            </w:r>
          </w:p>
        </w:tc>
      </w:tr>
      <w:tr>
        <w:trPr>
          <w:tblHeader w:val="false"/>
        </w:trPr>
        <w:tc>
          <w:tcPr>
            <w:tcW w:type="dxa" w:w="1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Signature</w:t>
            </w:r>
          </w:p>
        </w:tc>
        <w:tc>
          <w:tcPr>
            <w:tcW w:type="dxa" w:w="4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A person authorised to sign for the manufacturer and aware of the responsibility. An electronic signature suffices.</w:t>
            </w:r>
          </w:p>
        </w:tc>
        <w:tc>
          <w:tcPr>
            <w:tcW w:type="dxa" w:w="42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Signature by a person without authority.</w:t>
            </w:r>
          </w:p>
        </w:tc>
      </w:tr>
      <w:tr>
        <w:trPr>
          <w:tblHeader w:val="false"/>
        </w:trPr>
        <w:tc>
          <w:tcPr>
            <w:tcW w:type="dxa" w:w="1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Language</w:t>
            </w:r>
          </w:p>
        </w:tc>
        <w:tc>
          <w:tcPr>
            <w:tcW w:type="dxa" w:w="4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In the language of the Member State where the packaging is placed on or made available on the market (Art. 39(2)). For Germany, German or English is sufficient; on request of the authority it must be translated into German (Section 62 VerpackDG).</w:t>
            </w:r>
          </w:p>
        </w:tc>
        <w:tc>
          <w:tcPr>
            <w:tcW w:type="dxa" w:w="42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Only English, although another country of delivery requires its own language.</w:t>
            </w:r>
          </w:p>
        </w:tc>
      </w:tr>
      <w:tr>
        <w:trPr>
          <w:tblHeader w:val="false"/>
        </w:trPr>
        <w:tc>
          <w:tcPr>
            <w:tcW w:type="dxa" w:w="1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Retention</w:t>
            </w:r>
          </w:p>
        </w:tc>
        <w:tc>
          <w:tcPr>
            <w:tcW w:type="dxa" w:w="4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5 years from placing on the market, 10 years for reusable packaging, together with the technical documentation (Art. 15(3)). Submit to the authority on request within 10 days (Art. 15(10)).</w:t>
            </w:r>
          </w:p>
        </w:tc>
        <w:tc>
          <w:tcPr>
            <w:tcW w:type="dxa" w:w="42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The records are held only by the supplier.</w:t>
            </w:r>
          </w:p>
        </w:tc>
      </w:tr>
      <w:tr>
        <w:trPr>
          <w:tblHeader w:val="false"/>
        </w:trPr>
        <w:tc>
          <w:tcPr>
            <w:tcW w:type="dxa" w:w="10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Updating</w:t>
            </w:r>
          </w:p>
        </w:tc>
        <w:tc>
          <w:tcPr>
            <w:tcW w:type="dxa" w:w="4400"/>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If material, supplier, printing ink or standard changes, check whether a new assessment is needed (Art. 15(4)). The declaration must be kept up to date at all times (Art. 39(2)).</w:t>
            </w:r>
          </w:p>
        </w:tc>
        <w:tc>
          <w:tcPr>
            <w:tcW w:type="dxa" w:w="4238"/>
            <w:tcBorders>
              <w:top w:val="single" w:color="C9D1DC" w:sz="4"/>
              <w:left w:val="single" w:color="C9D1DC" w:sz="4"/>
              <w:bottom w:val="single" w:color="C9D1DC" w:sz="4"/>
              <w:right w:val="single" w:color="C9D1DC" w:sz="4"/>
            </w:tcBorders>
            <w:tcMar>
              <w:top w:type="dxa" w:w="80"/>
              <w:left w:type="dxa" w:w="100"/>
              <w:bottom w:type="dxa" w:w="80"/>
              <w:right w:type="dxa" w:w="100"/>
            </w:tcMar>
            <w:vAlign w:val="top"/>
          </w:tcPr>
          <w:p>
            <w:pPr>
              <w:spacing w:after="60" w:line="260"/>
            </w:pPr>
            <w:r>
              <w:rPr>
                <w:rFonts w:ascii="Arial" w:cs="Arial" w:eastAsia="Arial" w:hAnsi="Arial"/>
                <w:color w:val="15233B"/>
                <w:sz w:val="20"/>
                <w:szCs w:val="20"/>
              </w:rPr>
              <w:t xml:space="preserve">A 2026 declaration still names the old suppliers in 2028.</w:t>
            </w:r>
          </w:p>
        </w:tc>
      </w:tr>
    </w:tbl>
    <w:p>
      <w:r>
        <w:br w:type="page"/>
      </w:r>
    </w:p>
    <w:p>
      <w:pPr>
        <w:spacing w:after="60"/>
      </w:pPr>
      <w:r>
        <w:rPr>
          <w:rFonts w:ascii="Arial" w:cs="Arial" w:eastAsia="Arial" w:hAnsi="Arial"/>
          <w:b/>
          <w:bCs/>
          <w:color w:val="15233B"/>
          <w:sz w:val="32"/>
          <w:szCs w:val="32"/>
        </w:rPr>
        <w:t xml:space="preserve">EU declaration of conformity No. </w:t>
      </w:r>
      <w:r>
        <w:rPr>
          <w:rFonts w:ascii="Arial" w:cs="Arial" w:eastAsia="Arial" w:hAnsi="Arial"/>
          <w:b/>
          <w:bCs/>
          <w:color w:val="5C6672"/>
          <w:sz w:val="32"/>
          <w:szCs w:val="32"/>
        </w:rPr>
        <w:t xml:space="preserve">[DoC-2026-0001]</w:t>
      </w:r>
    </w:p>
    <w:p>
      <w:pPr>
        <w:spacing w:after="160"/>
      </w:pPr>
      <w:r>
        <w:rPr>
          <w:rFonts w:ascii="Arial" w:cs="Arial" w:eastAsia="Arial" w:hAnsi="Arial"/>
          <w:i/>
          <w:iCs/>
          <w:color w:val="5C6672"/>
          <w:sz w:val="18"/>
          <w:szCs w:val="18"/>
        </w:rPr>
        <w:t xml:space="preserve">Regulation (EU) 2025/40 on packaging and packaging waste, Article 39 and Annex VIII. English version for use with suppliers and customers outside Germany. The declaration must be drawn up in, or translated into, the language(s) required by the Member State where the packaging is placed on the market.</w:t>
      </w:r>
    </w:p>
    <w:p>
      <w:pPr>
        <w:keepNext/>
        <w:spacing w:after="60" w:before="160"/>
      </w:pPr>
      <w:r>
        <w:rPr>
          <w:rFonts w:ascii="Arial" w:cs="Arial" w:eastAsia="Arial" w:hAnsi="Arial"/>
          <w:b/>
          <w:bCs/>
          <w:color w:val="15233B"/>
          <w:sz w:val="20"/>
          <w:szCs w:val="20"/>
        </w:rPr>
        <w:t xml:space="preserve">1. </w:t>
      </w:r>
      <w:r>
        <w:rPr>
          <w:rFonts w:ascii="Arial" w:cs="Arial" w:eastAsia="Arial" w:hAnsi="Arial"/>
          <w:b/>
          <w:bCs/>
          <w:color w:val="15233B"/>
          <w:sz w:val="20"/>
          <w:szCs w:val="20"/>
        </w:rPr>
        <w:t xml:space="preserve">No. (unique identification of the packaging):</w:t>
      </w:r>
    </w:p>
    <w:p>
      <w:pPr>
        <w:spacing w:after="60"/>
        <w:ind w:left="360"/>
      </w:pPr>
      <w:r>
        <w:rPr>
          <w:rFonts w:ascii="Arial" w:cs="Arial" w:eastAsia="Arial" w:hAnsi="Arial"/>
          <w:i/>
          <w:iCs/>
          <w:color w:val="5C6672"/>
          <w:sz w:val="20"/>
          <w:szCs w:val="20"/>
        </w:rPr>
        <w:t xml:space="preserve">[type, batch or serial number]</w:t>
      </w:r>
    </w:p>
    <w:p>
      <w:pPr>
        <w:keepNext/>
        <w:spacing w:after="60" w:before="160"/>
      </w:pPr>
      <w:r>
        <w:rPr>
          <w:rFonts w:ascii="Arial" w:cs="Arial" w:eastAsia="Arial" w:hAnsi="Arial"/>
          <w:b/>
          <w:bCs/>
          <w:color w:val="15233B"/>
          <w:sz w:val="20"/>
          <w:szCs w:val="20"/>
        </w:rPr>
        <w:t xml:space="preserve">2. </w:t>
      </w:r>
      <w:r>
        <w:rPr>
          <w:rFonts w:ascii="Arial" w:cs="Arial" w:eastAsia="Arial" w:hAnsi="Arial"/>
          <w:b/>
          <w:bCs/>
          <w:color w:val="15233B"/>
          <w:sz w:val="20"/>
          <w:szCs w:val="20"/>
        </w:rPr>
        <w:t xml:space="preserve">Name and address of the manufacturer and, where applicable, its authorised representative:</w:t>
      </w:r>
    </w:p>
    <w:p>
      <w:pPr>
        <w:spacing w:after="60"/>
        <w:ind w:left="360"/>
      </w:pPr>
      <w:r>
        <w:rPr>
          <w:rFonts w:ascii="Arial" w:cs="Arial" w:eastAsia="Arial" w:hAnsi="Arial"/>
          <w:i/>
          <w:iCs/>
          <w:color w:val="5C6672"/>
          <w:sz w:val="20"/>
          <w:szCs w:val="20"/>
        </w:rPr>
        <w:t xml:space="preserve">[company, street, postcode, city, country]</w:t>
      </w:r>
    </w:p>
    <w:p>
      <w:pPr>
        <w:spacing w:after="60"/>
        <w:ind w:left="360"/>
      </w:pPr>
      <w:r>
        <w:rPr>
          <w:rFonts w:ascii="Arial" w:cs="Arial" w:eastAsia="Arial" w:hAnsi="Arial"/>
          <w:i/>
          <w:iCs/>
          <w:color w:val="5C6672"/>
          <w:sz w:val="20"/>
          <w:szCs w:val="20"/>
        </w:rPr>
        <w:t xml:space="preserve">[authorised representative, or: none appointed]</w:t>
      </w:r>
    </w:p>
    <w:p>
      <w:pPr>
        <w:keepNext/>
        <w:spacing w:after="60" w:before="160"/>
      </w:pPr>
      <w:r>
        <w:rPr>
          <w:rFonts w:ascii="Arial" w:cs="Arial" w:eastAsia="Arial" w:hAnsi="Arial"/>
          <w:b/>
          <w:bCs/>
          <w:color w:val="15233B"/>
          <w:sz w:val="20"/>
          <w:szCs w:val="20"/>
        </w:rPr>
        <w:t xml:space="preserve">3. </w:t>
      </w:r>
      <w:r>
        <w:rPr>
          <w:rFonts w:ascii="Arial" w:cs="Arial" w:eastAsia="Arial" w:hAnsi="Arial"/>
          <w:b/>
          <w:bCs/>
          <w:color w:val="15233B"/>
          <w:sz w:val="20"/>
          <w:szCs w:val="20"/>
        </w:rPr>
        <w:t xml:space="preserve">This declaration of conformity is issued under the sole responsibility of the manufacturer.</w:t>
      </w:r>
    </w:p>
    <w:p>
      <w:pPr>
        <w:keepNext/>
        <w:spacing w:after="60" w:before="160"/>
      </w:pPr>
      <w:r>
        <w:rPr>
          <w:rFonts w:ascii="Arial" w:cs="Arial" w:eastAsia="Arial" w:hAnsi="Arial"/>
          <w:b/>
          <w:bCs/>
          <w:color w:val="15233B"/>
          <w:sz w:val="20"/>
          <w:szCs w:val="20"/>
        </w:rPr>
        <w:t xml:space="preserve">4. </w:t>
      </w:r>
      <w:r>
        <w:rPr>
          <w:rFonts w:ascii="Arial" w:cs="Arial" w:eastAsia="Arial" w:hAnsi="Arial"/>
          <w:b/>
          <w:bCs/>
          <w:color w:val="15233B"/>
          <w:sz w:val="20"/>
          <w:szCs w:val="20"/>
        </w:rPr>
        <w:t xml:space="preserve">Object of the declaration (identification of packaging allowing traceability): description of the packaging:</w:t>
      </w:r>
    </w:p>
    <w:p>
      <w:pPr>
        <w:spacing w:after="60"/>
        <w:ind w:left="360"/>
      </w:pPr>
      <w:r>
        <w:rPr>
          <w:rFonts w:ascii="Arial" w:cs="Arial" w:eastAsia="Arial" w:hAnsi="Arial"/>
          <w:i/>
          <w:iCs/>
          <w:color w:val="5C6672"/>
          <w:sz w:val="20"/>
          <w:szCs w:val="20"/>
        </w:rPr>
        <w:t xml:space="preserve">[packaging category and intended use]</w:t>
      </w:r>
    </w:p>
    <w:p>
      <w:pPr>
        <w:spacing w:after="60"/>
        <w:ind w:left="360"/>
      </w:pPr>
      <w:r>
        <w:rPr>
          <w:rFonts w:ascii="Arial" w:cs="Arial" w:eastAsia="Arial" w:hAnsi="Arial"/>
          <w:i/>
          <w:iCs/>
          <w:color w:val="5C6672"/>
          <w:sz w:val="20"/>
          <w:szCs w:val="20"/>
        </w:rPr>
        <w:t xml:space="preserve">[design and materials]</w:t>
      </w:r>
    </w:p>
    <w:p>
      <w:pPr>
        <w:spacing w:after="60"/>
        <w:ind w:left="360"/>
      </w:pPr>
      <w:r>
        <w:rPr>
          <w:rFonts w:ascii="Arial" w:cs="Arial" w:eastAsia="Arial" w:hAnsi="Arial"/>
          <w:i/>
          <w:iCs/>
          <w:color w:val="5C6672"/>
          <w:sz w:val="20"/>
          <w:szCs w:val="20"/>
        </w:rPr>
        <w:t xml:space="preserve">[components with supplier and article number]</w:t>
      </w:r>
    </w:p>
    <w:p>
      <w:pPr>
        <w:spacing w:after="60"/>
        <w:ind w:left="360"/>
      </w:pPr>
      <w:r>
        <w:rPr>
          <w:rFonts w:ascii="Arial" w:cs="Arial" w:eastAsia="Arial" w:hAnsi="Arial"/>
          <w:i/>
          <w:iCs/>
          <w:color w:val="5C6672"/>
          <w:sz w:val="20"/>
          <w:szCs w:val="20"/>
        </w:rPr>
        <w:t xml:space="preserve">[image: see Annex 1 of the technical documentation]</w:t>
      </w:r>
    </w:p>
    <w:p>
      <w:pPr>
        <w:keepNext/>
        <w:spacing w:after="60" w:before="160"/>
      </w:pPr>
      <w:r>
        <w:rPr>
          <w:rFonts w:ascii="Arial" w:cs="Arial" w:eastAsia="Arial" w:hAnsi="Arial"/>
          <w:b/>
          <w:bCs/>
          <w:color w:val="15233B"/>
          <w:sz w:val="20"/>
          <w:szCs w:val="20"/>
        </w:rPr>
        <w:t xml:space="preserve">5. </w:t>
      </w:r>
      <w:r>
        <w:rPr>
          <w:rFonts w:ascii="Arial" w:cs="Arial" w:eastAsia="Arial" w:hAnsi="Arial"/>
          <w:b/>
          <w:bCs/>
          <w:color w:val="15233B"/>
          <w:sz w:val="20"/>
          <w:szCs w:val="20"/>
        </w:rPr>
        <w:t xml:space="preserve">The object of the declaration described in point 4 is in conformity with the relevant Union harmonisation legislation:</w:t>
      </w:r>
    </w:p>
    <w:p>
      <w:pPr>
        <w:spacing w:after="60"/>
        <w:ind w:left="360"/>
      </w:pPr>
      <w:r>
        <w:rPr>
          <w:rFonts w:ascii="Arial" w:cs="Arial" w:eastAsia="Arial" w:hAnsi="Arial"/>
          <w:i/>
          <w:iCs/>
          <w:color w:val="5C6672"/>
          <w:sz w:val="20"/>
          <w:szCs w:val="20"/>
        </w:rPr>
        <w:t xml:space="preserve">Regulation (EU) 2025/40 on packaging and packaging waste (OJ L, 2025/40, 22.1.2025), [Article 5(1), (4) and (5), Article 6(1), Article 15(5) and (6)] as applicable at the date of issue.</w:t>
      </w:r>
    </w:p>
    <w:p>
      <w:pPr>
        <w:spacing w:after="60"/>
        <w:ind w:left="360"/>
      </w:pPr>
      <w:r>
        <w:rPr>
          <w:rFonts w:ascii="Arial" w:cs="Arial" w:eastAsia="Arial" w:hAnsi="Arial"/>
          <w:i/>
          <w:iCs/>
          <w:color w:val="5C6672"/>
          <w:sz w:val="20"/>
          <w:szCs w:val="20"/>
        </w:rPr>
        <w:t xml:space="preserve">[other Union acts with OJ reference, if a single declaration is drawn up for several acts]</w:t>
      </w:r>
    </w:p>
    <w:p>
      <w:pPr>
        <w:keepNext/>
        <w:spacing w:after="60" w:before="160"/>
      </w:pPr>
      <w:r>
        <w:rPr>
          <w:rFonts w:ascii="Arial" w:cs="Arial" w:eastAsia="Arial" w:hAnsi="Arial"/>
          <w:b/>
          <w:bCs/>
          <w:color w:val="15233B"/>
          <w:sz w:val="20"/>
          <w:szCs w:val="20"/>
        </w:rPr>
        <w:t xml:space="preserve">6. </w:t>
      </w:r>
      <w:r>
        <w:rPr>
          <w:rFonts w:ascii="Arial" w:cs="Arial" w:eastAsia="Arial" w:hAnsi="Arial"/>
          <w:b/>
          <w:bCs/>
          <w:color w:val="15233B"/>
          <w:sz w:val="20"/>
          <w:szCs w:val="20"/>
        </w:rPr>
        <w:t xml:space="preserve">References to the relevant harmonised standards or common specifications used, or references to the other technical specifications in relation to which conformity is declared:</w:t>
      </w:r>
    </w:p>
    <w:p>
      <w:pPr>
        <w:spacing w:after="60"/>
        <w:ind w:left="360"/>
      </w:pPr>
      <w:r>
        <w:rPr>
          <w:rFonts w:ascii="Arial" w:cs="Arial" w:eastAsia="Arial" w:hAnsi="Arial"/>
          <w:i/>
          <w:iCs/>
          <w:color w:val="5C6672"/>
          <w:sz w:val="20"/>
          <w:szCs w:val="20"/>
        </w:rPr>
        <w:t xml:space="preserve">[e.g. CEN/CR 13695-1:2000 for heavy metals; EN 13428:2004 as guidance without presumption of conformity]</w:t>
      </w:r>
    </w:p>
    <w:p>
      <w:pPr>
        <w:keepNext/>
        <w:spacing w:after="60" w:before="160"/>
      </w:pPr>
      <w:r>
        <w:rPr>
          <w:rFonts w:ascii="Arial" w:cs="Arial" w:eastAsia="Arial" w:hAnsi="Arial"/>
          <w:b/>
          <w:bCs/>
          <w:color w:val="15233B"/>
          <w:sz w:val="20"/>
          <w:szCs w:val="20"/>
        </w:rPr>
        <w:t xml:space="preserve">7. </w:t>
      </w:r>
      <w:r>
        <w:rPr>
          <w:rFonts w:ascii="Arial" w:cs="Arial" w:eastAsia="Arial" w:hAnsi="Arial"/>
          <w:b/>
          <w:bCs/>
          <w:color w:val="15233B"/>
          <w:sz w:val="20"/>
          <w:szCs w:val="20"/>
        </w:rPr>
        <w:t xml:space="preserve">The notified body … performed … and issued the certificate(s): …</w:t>
      </w:r>
    </w:p>
    <w:p>
      <w:pPr>
        <w:spacing w:after="60"/>
        <w:ind w:left="360"/>
      </w:pPr>
      <w:r>
        <w:rPr>
          <w:rFonts w:ascii="Arial" w:cs="Arial" w:eastAsia="Arial" w:hAnsi="Arial"/>
          <w:i/>
          <w:iCs/>
          <w:color w:val="5C6672"/>
          <w:sz w:val="20"/>
          <w:szCs w:val="20"/>
        </w:rPr>
        <w:t xml:space="preserve">Not applicable. Conformity assessment according to Annex VII, Module A (internal production control).</w:t>
      </w:r>
    </w:p>
    <w:p>
      <w:pPr>
        <w:keepNext/>
        <w:spacing w:after="60" w:before="160"/>
      </w:pPr>
      <w:r>
        <w:rPr>
          <w:rFonts w:ascii="Arial" w:cs="Arial" w:eastAsia="Arial" w:hAnsi="Arial"/>
          <w:b/>
          <w:bCs/>
          <w:color w:val="15233B"/>
          <w:sz w:val="20"/>
          <w:szCs w:val="20"/>
        </w:rPr>
        <w:t xml:space="preserve">8. </w:t>
      </w:r>
      <w:r>
        <w:rPr>
          <w:rFonts w:ascii="Arial" w:cs="Arial" w:eastAsia="Arial" w:hAnsi="Arial"/>
          <w:b/>
          <w:bCs/>
          <w:color w:val="15233B"/>
          <w:sz w:val="20"/>
          <w:szCs w:val="20"/>
        </w:rPr>
        <w:t xml:space="preserve">Additional information:</w:t>
      </w:r>
    </w:p>
    <w:p>
      <w:pPr>
        <w:spacing w:after="60"/>
        <w:ind w:left="360"/>
      </w:pPr>
      <w:r>
        <w:rPr>
          <w:rFonts w:ascii="Arial" w:cs="Arial" w:eastAsia="Arial" w:hAnsi="Arial"/>
          <w:i/>
          <w:iCs/>
          <w:color w:val="5C6672"/>
          <w:sz w:val="20"/>
          <w:szCs w:val="20"/>
        </w:rPr>
        <w:t xml:space="preserve">[technical documentation No. … dated …]</w:t>
      </w:r>
    </w:p>
    <w:p>
      <w:pPr>
        <w:spacing w:after="60"/>
        <w:ind w:left="360"/>
      </w:pPr>
      <w:r>
        <w:rPr>
          <w:rFonts w:ascii="Arial" w:cs="Arial" w:eastAsia="Arial" w:hAnsi="Arial"/>
          <w:i/>
          <w:iCs/>
          <w:color w:val="5C6672"/>
          <w:sz w:val="20"/>
          <w:szCs w:val="20"/>
        </w:rPr>
        <w:t xml:space="preserve">[retention until … (5 years from placing on the market, 10 years for reusable packaging)]</w:t>
      </w:r>
    </w:p>
    <w:p>
      <w:pPr>
        <w:spacing w:after="60"/>
        <w:ind w:left="360"/>
      </w:pPr>
      <w:r>
        <w:rPr>
          <w:rFonts w:ascii="Arial" w:cs="Arial" w:eastAsia="Arial" w:hAnsi="Arial"/>
          <w:i/>
          <w:iCs/>
          <w:color w:val="5C6672"/>
          <w:sz w:val="20"/>
          <w:szCs w:val="20"/>
        </w:rPr>
        <w:t xml:space="preserve">[replaces version No. … dated … / does not replace an earlier version]</w:t>
      </w:r>
    </w:p>
    <w:p>
      <w:pPr>
        <w:tabs>
          <w:tab w:val="right" w:pos="9638" w:leader="underscore"/>
        </w:tabs>
        <w:spacing w:after="60" w:before="200"/>
      </w:pPr>
      <w:r>
        <w:rPr>
          <w:rFonts w:ascii="Arial" w:cs="Arial" w:eastAsia="Arial" w:hAnsi="Arial"/>
          <w:color w:val="15233B"/>
          <w:sz w:val="20"/>
          <w:szCs w:val="20"/>
        </w:rPr>
        <w:t xml:space="preserve">Signed for and on behalf of:  </w:t>
      </w:r>
      <w:r>
        <w:rPr>
          <w:rFonts w:ascii="Arial" w:cs="Arial" w:eastAsia="Arial" w:hAnsi="Arial"/>
        </w:rPr>
        <w:t xml:space="preserve">	</w:t>
      </w:r>
    </w:p>
    <w:p>
      <w:pPr>
        <w:tabs>
          <w:tab w:val="right" w:pos="9638" w:leader="underscore"/>
        </w:tabs>
        <w:spacing w:after="60" w:before="200"/>
      </w:pPr>
      <w:r>
        <w:rPr>
          <w:rFonts w:ascii="Arial" w:cs="Arial" w:eastAsia="Arial" w:hAnsi="Arial"/>
          <w:color w:val="15233B"/>
          <w:sz w:val="20"/>
          <w:szCs w:val="20"/>
        </w:rPr>
        <w:t xml:space="preserve">Place and date of issue:  </w:t>
      </w:r>
      <w:r>
        <w:rPr>
          <w:rFonts w:ascii="Arial" w:cs="Arial" w:eastAsia="Arial" w:hAnsi="Arial"/>
        </w:rPr>
        <w:t xml:space="preserve">	</w:t>
      </w:r>
    </w:p>
    <w:p>
      <w:pPr>
        <w:tabs>
          <w:tab w:val="right" w:pos="9638" w:leader="underscore"/>
        </w:tabs>
        <w:spacing w:after="60" w:before="200"/>
      </w:pPr>
      <w:r>
        <w:rPr>
          <w:rFonts w:ascii="Arial" w:cs="Arial" w:eastAsia="Arial" w:hAnsi="Arial"/>
          <w:color w:val="15233B"/>
          <w:sz w:val="20"/>
          <w:szCs w:val="20"/>
        </w:rPr>
        <w:t xml:space="preserve">Name, function:  </w:t>
      </w:r>
      <w:r>
        <w:rPr>
          <w:rFonts w:ascii="Arial" w:cs="Arial" w:eastAsia="Arial" w:hAnsi="Arial"/>
        </w:rPr>
        <w:t xml:space="preserve">	</w:t>
      </w:r>
    </w:p>
    <w:p>
      <w:pPr>
        <w:tabs>
          <w:tab w:val="right" w:pos="9638" w:leader="underscore"/>
        </w:tabs>
        <w:spacing w:after="60" w:before="200"/>
      </w:pPr>
      <w:r>
        <w:rPr>
          <w:rFonts w:ascii="Arial" w:cs="Arial" w:eastAsia="Arial" w:hAnsi="Arial"/>
          <w:color w:val="15233B"/>
          <w:sz w:val="20"/>
          <w:szCs w:val="20"/>
        </w:rPr>
        <w:t xml:space="preserve">Signature:  </w:t>
      </w:r>
      <w:r>
        <w:rPr>
          <w:rFonts w:ascii="Arial" w:cs="Arial" w:eastAsia="Arial" w:hAnsi="Arial"/>
        </w:rPr>
        <w:t xml:space="preserve">	</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1DC" w:sz="4" w:space="4"/>
      </w:pBdr>
      <w:tabs>
        <w:tab w:val="right" w:pos="9638"/>
      </w:tabs>
    </w:pPr>
    <w:r>
      <w:rPr>
        <w:rFonts w:ascii="Arial" w:cs="Arial" w:eastAsia="Arial" w:hAnsi="Arial"/>
        <w:color w:val="5C6672"/>
        <w:sz w:val="14"/>
        <w:szCs w:val="14"/>
      </w:rPr>
      <w:t xml:space="preserve">Template provided by Polygon One GmbH, polygon-one.com. As at September 2026. Not legal advice. The manufacturer is responsible for content and issue (Art. 39(4) Reg. (EU) 2025/40).</w:t>
    </w:r>
    <w:r>
      <w:rPr>
        <w:rFonts w:ascii="Arial" w:cs="Arial" w:eastAsia="Arial" w:hAnsi="Arial"/>
      </w:rPr>
      <w:t xml:space="preserve">	</w:t>
    </w:r>
    <w:r>
      <w:rPr>
        <w:rFonts w:ascii="Arial" w:cs="Arial" w:eastAsia="Arial" w:hAnsi="Arial"/>
        <w:color w:val="5C6672"/>
        <w:sz w:val="14"/>
        <w:szCs w:val="14"/>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D1DC" w:sz="4" w:space="4"/>
      </w:pBdr>
      <w:tabs>
        <w:tab w:val="right" w:pos="9638"/>
      </w:tabs>
      <w:spacing w:after="120"/>
    </w:pPr>
    <w:r>
      <w:rPr>
        <w:rFonts w:ascii="Arial" w:cs="Arial" w:eastAsia="Arial" w:hAnsi="Arial"/>
        <w:color w:val="5C6672"/>
        <w:sz w:val="16"/>
        <w:szCs w:val="16"/>
      </w:rPr>
      <w:t xml:space="preserve">Template EU declaration of conformity under Annex VIII of Regulation (EU) 2025/40</w:t>
    </w:r>
    <w:r>
      <w:rPr>
        <w:rFonts w:ascii="Arial" w:cs="Arial" w:eastAsia="Arial" w:hAnsi="Arial"/>
      </w:rPr>
      <w:t xml:space="preserve">	</w:t>
    </w:r>
    <w:r>
      <w:drawing>
        <wp:inline distT="0" distB="0" distL="0" distR="0">
          <wp:extent cx="914400" cy="12858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14400" cy="12858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5233B"/>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f7aa91b198ce0b46bce71dd75501b101bd0952c.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EU-Konformitätserklärung nach Anhang VIII der Verordnung (EU) 2025/40</dc:title>
  <dc:creator>Polygon One GmbH</dc:creator>
  <cp:lastModifiedBy>Un-named</cp:lastModifiedBy>
  <cp:revision>1</cp:revision>
  <dcterms:created xsi:type="dcterms:W3CDTF">2026-09-04T10:29:14.720Z</dcterms:created>
  <dcterms:modified xsi:type="dcterms:W3CDTF">2026-09-04T10:29:14.732Z</dcterms:modified>
</cp:coreProperties>
</file>

<file path=docProps/custom.xml><?xml version="1.0" encoding="utf-8"?>
<Properties xmlns="http://schemas.openxmlformats.org/officeDocument/2006/custom-properties" xmlns:vt="http://schemas.openxmlformats.org/officeDocument/2006/docPropsVTypes"/>
</file>