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color w:val="15233B"/>
          <w:sz w:val="30"/>
          <w:szCs w:val="30"/>
        </w:rPr>
        <w:t xml:space="preserve">PPWR-Checkliste Transportverpackungen</w:t>
      </w:r>
    </w:p>
    <w:p>
      <w:pPr>
        <w:spacing w:after="160"/>
      </w:pPr>
      <w:r>
        <w:rPr>
          <w:rFonts w:ascii="Arial" w:cs="Arial" w:eastAsia="Arial" w:hAnsi="Arial"/>
          <w:i/>
          <w:iCs/>
          <w:color w:val="5C6672"/>
          <w:sz w:val="18"/>
          <w:szCs w:val="18"/>
        </w:rPr>
        <w:t xml:space="preserve">Für jede Transportverpackung im B2B-Alltag: Wer ist Erzeuger, wer stellt die Konformitätserklärung aus, welche Stoffpflichten gelten seit dem 12.08.2026, was verlangt das deutsche Verpackungsdurchführungsgesetz und was kommt 2030. Grundlage: VO (EU) 2025/40, Kommissionsleitfaden C/2026/3702, Kommissions-FAQ 2. Auflage, VerpackDG, Auslegungen der Zentralen Stelle Verpackungsregister (Stand 12.08.2026).</w:t>
      </w:r>
    </w:p>
    <w:p>
      <w:pPr>
        <w:pStyle w:val="Heading1"/>
        <w:spacing w:after="160" w:before="240"/>
      </w:pPr>
      <w:r>
        <w:rPr>
          <w:rFonts w:ascii="Arial" w:cs="Arial" w:eastAsia="Arial" w:hAnsi="Arial"/>
          <w:b/>
          <w:bCs/>
          <w:color w:val="15233B"/>
          <w:sz w:val="30"/>
          <w:szCs w:val="30"/>
        </w:rPr>
        <w:t xml:space="preserve">Teil A: Pflichten je Verpackungsart</w:t>
      </w:r>
    </w:p>
    <w:tbl>
      <w:tblPr>
        <w:tblW w:type="dxa" w:w="14570"/>
        <w:tblBorders>
          <w:top w:val="single" w:color="auto" w:sz="4"/>
          <w:left w:val="single" w:color="auto" w:sz="4"/>
          <w:bottom w:val="single" w:color="auto" w:sz="4"/>
          <w:right w:val="single" w:color="auto" w:sz="4"/>
          <w:insideH w:val="single" w:color="auto" w:sz="4"/>
          <w:insideV w:val="single" w:color="auto" w:sz="4"/>
        </w:tblBorders>
      </w:tblPr>
      <w:tblGrid>
        <w:gridCol w:w="2600"/>
        <w:gridCol w:w="2300"/>
        <w:gridCol w:w="2100"/>
        <w:gridCol w:w="2500"/>
        <w:gridCol w:w="2700"/>
        <w:gridCol w:w="2370"/>
      </w:tblGrid>
      <w:tr>
        <w:trPr>
          <w:tblHeader/>
        </w:trPr>
        <w:tc>
          <w:tcPr>
            <w:tcW w:type="dxa" w:w="26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40" w:line="250"/>
            </w:pPr>
            <w:r>
              <w:rPr>
                <w:rFonts w:ascii="Arial" w:cs="Arial" w:eastAsia="Arial" w:hAnsi="Arial"/>
                <w:b/>
                <w:bCs/>
                <w:color w:val="15233B"/>
                <w:sz w:val="17"/>
                <w:szCs w:val="17"/>
              </w:rPr>
              <w:t xml:space="preserve">Verpackungsart</w:t>
            </w:r>
          </w:p>
        </w:tc>
        <w:tc>
          <w:tcPr>
            <w:tcW w:type="dxa" w:w="23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40" w:line="250"/>
            </w:pPr>
            <w:r>
              <w:rPr>
                <w:rFonts w:ascii="Arial" w:cs="Arial" w:eastAsia="Arial" w:hAnsi="Arial"/>
                <w:b/>
                <w:bCs/>
                <w:color w:val="15233B"/>
                <w:sz w:val="17"/>
                <w:szCs w:val="17"/>
              </w:rPr>
              <w:t xml:space="preserve">Erzeuger im Regelfall</w:t>
            </w:r>
          </w:p>
        </w:tc>
        <w:tc>
          <w:tcPr>
            <w:tcW w:type="dxa" w:w="21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40" w:line="250"/>
            </w:pPr>
            <w:r>
              <w:rPr>
                <w:rFonts w:ascii="Arial" w:cs="Arial" w:eastAsia="Arial" w:hAnsi="Arial"/>
                <w:b/>
                <w:bCs/>
                <w:color w:val="15233B"/>
                <w:sz w:val="17"/>
                <w:szCs w:val="17"/>
              </w:rPr>
              <w:t xml:space="preserve">Konformitätserklärung</w:t>
            </w:r>
          </w:p>
        </w:tc>
        <w:tc>
          <w:tcPr>
            <w:tcW w:type="dxa" w:w="25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40" w:line="250"/>
            </w:pPr>
            <w:r>
              <w:rPr>
                <w:rFonts w:ascii="Arial" w:cs="Arial" w:eastAsia="Arial" w:hAnsi="Arial"/>
                <w:b/>
                <w:bCs/>
                <w:color w:val="15233B"/>
                <w:sz w:val="17"/>
                <w:szCs w:val="17"/>
              </w:rPr>
              <w:t xml:space="preserve">Stoffpflichten Art. 5 (2026)</w:t>
            </w:r>
          </w:p>
        </w:tc>
        <w:tc>
          <w:tcPr>
            <w:tcW w:type="dxa" w:w="27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40" w:line="250"/>
            </w:pPr>
            <w:r>
              <w:rPr>
                <w:rFonts w:ascii="Arial" w:cs="Arial" w:eastAsia="Arial" w:hAnsi="Arial"/>
                <w:b/>
                <w:bCs/>
                <w:color w:val="15233B"/>
                <w:sz w:val="17"/>
                <w:szCs w:val="17"/>
              </w:rPr>
              <w:t xml:space="preserve">Deutschland (VerpackDG)</w:t>
            </w:r>
          </w:p>
        </w:tc>
        <w:tc>
          <w:tcPr>
            <w:tcW w:type="dxa" w:w="237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40" w:line="250"/>
            </w:pPr>
            <w:r>
              <w:rPr>
                <w:rFonts w:ascii="Arial" w:cs="Arial" w:eastAsia="Arial" w:hAnsi="Arial"/>
                <w:b/>
                <w:bCs/>
                <w:color w:val="15233B"/>
                <w:sz w:val="17"/>
                <w:szCs w:val="17"/>
              </w:rPr>
              <w:t xml:space="preserve">Ab 2030 (Art. 24, 29)</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Europalette, Kunststoffpalette, neutral</w:t>
            </w:r>
          </w:p>
        </w:tc>
        <w:tc>
          <w:tcPr>
            <w:tcW w:type="dxa" w:w="2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Palettenhersteller (formstabil)</w:t>
            </w:r>
          </w:p>
        </w:tc>
        <w:tc>
          <w:tcPr>
            <w:tcW w:type="dxa" w:w="2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Einholen</w:t>
            </w:r>
          </w:p>
        </w:tc>
        <w:tc>
          <w:tcPr>
            <w:tcW w:type="dxa" w:w="2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Schwermetalle 100 mg/kg; Holz: Nachweis über Hersteller</w:t>
            </w:r>
          </w:p>
        </w:tc>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Registrierung; Rücknahme § 39; Zulassung § 19 ab 2028 (§ 68 Abs. 9)</w:t>
            </w:r>
          </w:p>
        </w:tc>
        <w:tc>
          <w:tcPr>
            <w:tcW w:type="dxa" w:w="23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Wiederverwendung 40 %, Binnenverkehr 100 %; Mehrweg: Art. 11, 26, 27, Anhang VI</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Palette mit eigenem Logo</w:t>
            </w:r>
          </w:p>
        </w:tc>
        <w:tc>
          <w:tcPr>
            <w:tcW w:type="dxa" w:w="2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Sie (Art. 3 Abs. 1 Nr. 13 a)</w:t>
            </w:r>
          </w:p>
        </w:tc>
        <w:tc>
          <w:tcPr>
            <w:tcW w:type="dxa" w:w="2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Ausstellen</w:t>
            </w:r>
          </w:p>
        </w:tc>
        <w:tc>
          <w:tcPr>
            <w:tcW w:type="dxa" w:w="2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Stoffdaten vom Hersteller (Art. 16)</w:t>
            </w:r>
          </w:p>
        </w:tc>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wie oben</w:t>
            </w:r>
          </w:p>
        </w:tc>
        <w:tc>
          <w:tcPr>
            <w:tcW w:type="dxa" w:w="23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wie oben</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Palettenrahmen, Kiste, Verschlag</w:t>
            </w:r>
          </w:p>
        </w:tc>
        <w:tc>
          <w:tcPr>
            <w:tcW w:type="dxa" w:w="2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Hersteller der leeren Verpackung</w:t>
            </w:r>
          </w:p>
        </w:tc>
        <w:tc>
          <w:tcPr>
            <w:tcW w:type="dxa" w:w="2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Einholen</w:t>
            </w:r>
          </w:p>
        </w:tc>
        <w:tc>
          <w:tcPr>
            <w:tcW w:type="dxa" w:w="2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Schwermetalle</w:t>
            </w:r>
          </w:p>
        </w:tc>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Registrierung; Rücknahme § 39; Zulassung § 19 ab 2028</w:t>
            </w:r>
          </w:p>
        </w:tc>
        <w:tc>
          <w:tcPr>
            <w:tcW w:type="dxa" w:w="23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Wiederverwendungsziele; Kisten aus Pappe ausgenommen</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Fass, Kanister, IBC (Großpackmittel)</w:t>
            </w:r>
          </w:p>
        </w:tc>
        <w:tc>
          <w:tcPr>
            <w:tcW w:type="dxa" w:w="2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Hersteller der leeren Verpackung</w:t>
            </w:r>
          </w:p>
        </w:tc>
        <w:tc>
          <w:tcPr>
            <w:tcW w:type="dxa" w:w="2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Einholen</w:t>
            </w:r>
          </w:p>
        </w:tc>
        <w:tc>
          <w:tcPr>
            <w:tcW w:type="dxa" w:w="2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Schwermetalle; PFAS bei Lebensmittelkontakt</w:t>
            </w:r>
          </w:p>
        </w:tc>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wie oben; Gefahrgut: Wiederverwendungsziele ausgenommen</w:t>
            </w:r>
          </w:p>
        </w:tc>
        <w:tc>
          <w:tcPr>
            <w:tcW w:type="dxa" w:w="23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Wiederverwendungsziele, außer Gefahrgut (Art. 29 Abs. 4 a)</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Stretchfolie, Schrumpfhaube</w:t>
            </w:r>
          </w:p>
        </w:tc>
        <w:tc>
          <w:tcPr>
            <w:tcW w:type="dxa" w:w="2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Uneinheitlich: Folienhersteller (Kommissions-FAQ II.5) oder wer sie anlegt (ZSVR)</w:t>
            </w:r>
          </w:p>
        </w:tc>
        <w:tc>
          <w:tcPr>
            <w:tcW w:type="dxa" w:w="2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Einholen und gewickelte Einheit selbst dokumentieren</w:t>
            </w:r>
          </w:p>
        </w:tc>
        <w:tc>
          <w:tcPr>
            <w:tcW w:type="dxa" w:w="2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Schwermetalle; PFAS nur bei Lebensmittelkontakt; Stoffdaten vom Folienhersteller</w:t>
            </w:r>
          </w:p>
        </w:tc>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Registrierung; Rücknahme § 39; Zulassung § 19 ab 2028</w:t>
            </w:r>
          </w:p>
        </w:tc>
        <w:tc>
          <w:tcPr>
            <w:tcW w:type="dxa" w:w="23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Zählt zu den Wiederverwendungszielen; Lebensmittelkontakt ausgenommen (Abs. 4 c)</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Umreifungsband</w:t>
            </w:r>
          </w:p>
        </w:tc>
        <w:tc>
          <w:tcPr>
            <w:tcW w:type="dxa" w:w="2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Uneinheitlich: Bandhersteller (Kommissions-FAQ II.5) oder wer es anlegt (ZSVR)</w:t>
            </w:r>
          </w:p>
        </w:tc>
        <w:tc>
          <w:tcPr>
            <w:tcW w:type="dxa" w:w="2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Einholen und selbst dokumentieren, getrennt von der Folie</w:t>
            </w:r>
          </w:p>
        </w:tc>
        <w:tc>
          <w:tcPr>
            <w:tcW w:type="dxa" w:w="2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Schwermetalle; Stoffdaten vom Bandhersteller</w:t>
            </w:r>
          </w:p>
        </w:tc>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wie oben</w:t>
            </w:r>
          </w:p>
        </w:tc>
        <w:tc>
          <w:tcPr>
            <w:tcW w:type="dxa" w:w="23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Zählt zu den Wiederverwendungszielen</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Kantenschutz, Zwischenlage, Füllmaterial, Klebeband</w:t>
            </w:r>
          </w:p>
        </w:tc>
        <w:tc>
          <w:tcPr>
            <w:tcW w:type="dxa" w:w="2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Komponente der Verpackung, die Sie zusammenfügen</w:t>
            </w:r>
          </w:p>
        </w:tc>
        <w:tc>
          <w:tcPr>
            <w:tcW w:type="dxa" w:w="2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In Ihrer Erklärung aufführen</w:t>
            </w:r>
          </w:p>
        </w:tc>
        <w:tc>
          <w:tcPr>
            <w:tcW w:type="dxa" w:w="2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Stoffdaten je Komponente</w:t>
            </w:r>
          </w:p>
        </w:tc>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Teil der jeweiligen Verpackung</w:t>
            </w:r>
          </w:p>
        </w:tc>
        <w:tc>
          <w:tcPr>
            <w:tcW w:type="dxa" w:w="23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Füllmaterial zählt als Leerraum (Art. 24 Abs. 3)</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Versandkarton neutral, vollständig geliefert (z. B. Versandtasche mit Klebestreifen)</w:t>
            </w:r>
          </w:p>
        </w:tc>
        <w:tc>
          <w:tcPr>
            <w:tcW w:type="dxa" w:w="2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Kartonhersteller, solange Sie nichts verändern</w:t>
            </w:r>
          </w:p>
        </w:tc>
        <w:tc>
          <w:tcPr>
            <w:tcW w:type="dxa" w:w="2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Einholen</w:t>
            </w:r>
          </w:p>
        </w:tc>
        <w:tc>
          <w:tcPr>
            <w:tcW w:type="dxa" w:w="2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Schwermetalle</w:t>
            </w:r>
          </w:p>
        </w:tc>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Versand an Endabnehmer: systembeteiligungspflichtig (ZSVR), auch an Unternehmen</w:t>
            </w:r>
          </w:p>
        </w:tc>
        <w:tc>
          <w:tcPr>
            <w:tcW w:type="dxa" w:w="23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Leerraum höchstens 50 %; E-Commerce: Sortierkennzeichnung ab 2028</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Versandkarton, den Sie mit Band und Füllung zusammenfügen</w:t>
            </w:r>
          </w:p>
        </w:tc>
        <w:tc>
          <w:tcPr>
            <w:tcW w:type="dxa" w:w="2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Sie (ZSVR: Verpackung entsteht durch Sie)</w:t>
            </w:r>
          </w:p>
        </w:tc>
        <w:tc>
          <w:tcPr>
            <w:tcW w:type="dxa" w:w="2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Ausstellen</w:t>
            </w:r>
          </w:p>
        </w:tc>
        <w:tc>
          <w:tcPr>
            <w:tcW w:type="dxa" w:w="2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Stoffdaten von Karton-, Band- und Füllmateriallieferant</w:t>
            </w:r>
          </w:p>
        </w:tc>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wie oben</w:t>
            </w:r>
          </w:p>
        </w:tc>
        <w:tc>
          <w:tcPr>
            <w:tcW w:type="dxa" w:w="23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wie oben</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Versandkarton mit eigenem Logo</w:t>
            </w:r>
          </w:p>
        </w:tc>
        <w:tc>
          <w:tcPr>
            <w:tcW w:type="dxa" w:w="2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Sie (Art. 3 Abs. 1 Nr. 13 a)</w:t>
            </w:r>
          </w:p>
        </w:tc>
        <w:tc>
          <w:tcPr>
            <w:tcW w:type="dxa" w:w="2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Ausstellen</w:t>
            </w:r>
          </w:p>
        </w:tc>
        <w:tc>
          <w:tcPr>
            <w:tcW w:type="dxa" w:w="2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Stoffdaten vom Hersteller</w:t>
            </w:r>
          </w:p>
        </w:tc>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wie oben</w:t>
            </w:r>
          </w:p>
        </w:tc>
        <w:tc>
          <w:tcPr>
            <w:tcW w:type="dxa" w:w="23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wie oben</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Gebrauchter Karton, erneut verwendet</w:t>
            </w:r>
          </w:p>
        </w:tc>
        <w:tc>
          <w:tcPr>
            <w:tcW w:type="dxa" w:w="2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Sie, wenn Sie Band und Füllung hinzufügen</w:t>
            </w:r>
          </w:p>
        </w:tc>
        <w:tc>
          <w:tcPr>
            <w:tcW w:type="dxa" w:w="2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Ausstellen (praktisch schwierig: Stoffdaten fehlen)</w:t>
            </w:r>
          </w:p>
        </w:tc>
        <w:tc>
          <w:tcPr>
            <w:tcW w:type="dxa" w:w="2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Stoffdaten meist nicht verfügbar</w:t>
            </w:r>
          </w:p>
        </w:tc>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Systembeteiligung, wenn frühere Beteiligung nicht nachweisbar (ZSVR-Praxis)</w:t>
            </w:r>
          </w:p>
        </w:tc>
        <w:tc>
          <w:tcPr>
            <w:tcW w:type="dxa" w:w="23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Kein Mehrweg im Sinne der Verordnung</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Mehrwegbox im Poolsystem</w:t>
            </w:r>
          </w:p>
        </w:tc>
        <w:tc>
          <w:tcPr>
            <w:tcW w:type="dxa" w:w="2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Systembetreiber, wenn nach seinen Vorgaben gestaltet und mit seiner Marke, sonst Boxhersteller (Leitfaden)</w:t>
            </w:r>
          </w:p>
        </w:tc>
        <w:tc>
          <w:tcPr>
            <w:tcW w:type="dxa" w:w="2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Einholen</w:t>
            </w:r>
          </w:p>
        </w:tc>
        <w:tc>
          <w:tcPr>
            <w:tcW w:type="dxa" w:w="2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Schwermetalle; Art. 11 Anforderungen</w:t>
            </w:r>
          </w:p>
        </w:tc>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Rücknahme § 39 Nr. 6; Wiederverwendungssystem Anhang VI (Art. 26, 27)</w:t>
            </w:r>
          </w:p>
        </w:tc>
        <w:tc>
          <w:tcPr>
            <w:tcW w:type="dxa" w:w="23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Zählt auf die Wiederverwendungsziele; vor 11.02.2025 in Verkehr: Bestandsschutz</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Maßgefertigte Transportverpackung für konfigurierbare Medizinprodukte</w:t>
            </w:r>
          </w:p>
        </w:tc>
        <w:tc>
          <w:tcPr>
            <w:tcW w:type="dxa" w:w="2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Erzeuger bleibt, Art. 15 Abs. 2 und 3 gelten nicht</w:t>
            </w:r>
          </w:p>
        </w:tc>
        <w:tc>
          <w:tcPr>
            <w:tcW w:type="dxa" w:w="21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Keine Bewertung und Dokumentation nach Art. 15 Abs. 11</w:t>
            </w:r>
          </w:p>
        </w:tc>
        <w:tc>
          <w:tcPr>
            <w:tcW w:type="dxa" w:w="2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Art. 5 gilt weiterhin</w:t>
            </w:r>
          </w:p>
        </w:tc>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Registrierung</w:t>
            </w:r>
          </w:p>
        </w:tc>
        <w:tc>
          <w:tcPr>
            <w:tcW w:type="dxa" w:w="23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Große Ausrüstung mit individueller Verpackung: Wiederverwendungsziele ausgenommen (Abs. 4 b)</w:t>
            </w:r>
          </w:p>
        </w:tc>
      </w:tr>
    </w:tbl>
    <w:p>
      <w:r>
        <w:br w:type="page"/>
      </w:r>
    </w:p>
    <w:p>
      <w:pPr>
        <w:pStyle w:val="Heading1"/>
        <w:spacing w:after="160" w:before="240"/>
      </w:pPr>
      <w:r>
        <w:rPr>
          <w:rFonts w:ascii="Arial" w:cs="Arial" w:eastAsia="Arial" w:hAnsi="Arial"/>
          <w:b/>
          <w:bCs/>
          <w:color w:val="15233B"/>
          <w:sz w:val="30"/>
          <w:szCs w:val="30"/>
        </w:rPr>
        <w:t xml:space="preserve">Teil B: Die sechs Prüfschritte</w:t>
      </w:r>
    </w:p>
    <w:p>
      <w:pPr>
        <w:keepNext/>
        <w:spacing w:after="40" w:before="160"/>
      </w:pPr>
      <w:r>
        <w:rPr>
          <w:rFonts w:ascii="Arial" w:cs="Arial" w:eastAsia="Arial" w:hAnsi="Arial"/>
          <w:b/>
          <w:bCs/>
          <w:color w:val="1F63B3"/>
          <w:sz w:val="19"/>
          <w:szCs w:val="19"/>
        </w:rPr>
        <w:t xml:space="preserve">1  </w:t>
      </w:r>
      <w:r>
        <w:rPr>
          <w:rFonts w:ascii="Arial" w:cs="Arial" w:eastAsia="Arial" w:hAnsi="Arial"/>
          <w:b/>
          <w:bCs/>
          <w:color w:val="15233B"/>
          <w:sz w:val="19"/>
          <w:szCs w:val="19"/>
        </w:rPr>
        <w:t xml:space="preserve">Transportverpackungen erfassen</w:t>
      </w:r>
    </w:p>
    <w:p>
      <w:pPr>
        <w:spacing w:after="30"/>
        <w:ind w:left="360"/>
      </w:pPr>
      <w:r>
        <w:rPr>
          <w:rFonts w:ascii="Arial" w:cs="Arial" w:eastAsia="Arial" w:hAnsi="Arial"/>
          <w:color w:val="15233B"/>
          <w:sz w:val="19"/>
          <w:szCs w:val="19"/>
        </w:rPr>
        <w:t xml:space="preserve">Jede Verpackungsart einzeln: Paletten je Typ, Rahmen, Folien, Bänder, Kartons je Format, Füllmaterial, Klebeband, Mehrwegbehälter. Mit Lieferant, Material, Gewicht, Einweg oder Mehrweg und Verwendung. Vorlage in Teil D.</w:t>
      </w:r>
    </w:p>
    <w:p>
      <w:pPr>
        <w:spacing w:after="80"/>
        <w:ind w:left="360"/>
      </w:pPr>
      <w:r>
        <w:rPr>
          <w:rFonts w:ascii="Arial" w:cs="Arial" w:eastAsia="Arial" w:hAnsi="Arial"/>
          <w:b/>
          <w:bCs/>
          <w:color w:val="15233B"/>
          <w:sz w:val="19"/>
          <w:szCs w:val="19"/>
        </w:rPr>
        <w:t xml:space="preserve">☐ erledigt   </w:t>
      </w:r>
      <w:r>
        <w:rPr>
          <w:rFonts w:ascii="Arial" w:cs="Arial" w:eastAsia="Arial" w:hAnsi="Arial"/>
          <w:color w:val="15233B"/>
          <w:sz w:val="19"/>
          <w:szCs w:val="19"/>
        </w:rPr>
        <w:t xml:space="preserve">Verantwortlich: ____________   Termin: ____________</w:t>
      </w:r>
    </w:p>
    <w:p>
      <w:pPr>
        <w:keepNext/>
        <w:spacing w:after="40" w:before="160"/>
      </w:pPr>
      <w:r>
        <w:rPr>
          <w:rFonts w:ascii="Arial" w:cs="Arial" w:eastAsia="Arial" w:hAnsi="Arial"/>
          <w:b/>
          <w:bCs/>
          <w:color w:val="1F63B3"/>
          <w:sz w:val="19"/>
          <w:szCs w:val="19"/>
        </w:rPr>
        <w:t xml:space="preserve">2  </w:t>
      </w:r>
      <w:r>
        <w:rPr>
          <w:rFonts w:ascii="Arial" w:cs="Arial" w:eastAsia="Arial" w:hAnsi="Arial"/>
          <w:b/>
          <w:bCs/>
          <w:color w:val="15233B"/>
          <w:sz w:val="19"/>
          <w:szCs w:val="19"/>
        </w:rPr>
        <w:t xml:space="preserve">Erzeugerrolle je Verpackungsart klären</w:t>
      </w:r>
    </w:p>
    <w:p>
      <w:pPr>
        <w:spacing w:after="30"/>
        <w:ind w:left="360"/>
      </w:pPr>
      <w:r>
        <w:rPr>
          <w:rFonts w:ascii="Arial" w:cs="Arial" w:eastAsia="Arial" w:hAnsi="Arial"/>
          <w:color w:val="15233B"/>
          <w:sz w:val="19"/>
          <w:szCs w:val="19"/>
        </w:rPr>
        <w:t xml:space="preserve">Formstabil oder flexibel, Marke oder neutral, vollständig geliefert oder von Ihnen zusammengefügt. Ergebnis: Erklärung einholen oder selbst ausstellen.</w:t>
      </w:r>
    </w:p>
    <w:p>
      <w:pPr>
        <w:spacing w:after="80"/>
        <w:ind w:left="360"/>
      </w:pPr>
      <w:r>
        <w:rPr>
          <w:rFonts w:ascii="Arial" w:cs="Arial" w:eastAsia="Arial" w:hAnsi="Arial"/>
          <w:b/>
          <w:bCs/>
          <w:color w:val="15233B"/>
          <w:sz w:val="19"/>
          <w:szCs w:val="19"/>
        </w:rPr>
        <w:t xml:space="preserve">☐ erledigt   </w:t>
      </w:r>
      <w:r>
        <w:rPr>
          <w:rFonts w:ascii="Arial" w:cs="Arial" w:eastAsia="Arial" w:hAnsi="Arial"/>
          <w:color w:val="15233B"/>
          <w:sz w:val="19"/>
          <w:szCs w:val="19"/>
        </w:rPr>
        <w:t xml:space="preserve">Verantwortlich: ____________   Termin: ____________</w:t>
      </w:r>
    </w:p>
    <w:p>
      <w:pPr>
        <w:keepNext/>
        <w:spacing w:after="40" w:before="160"/>
      </w:pPr>
      <w:r>
        <w:rPr>
          <w:rFonts w:ascii="Arial" w:cs="Arial" w:eastAsia="Arial" w:hAnsi="Arial"/>
          <w:b/>
          <w:bCs/>
          <w:color w:val="1F63B3"/>
          <w:sz w:val="19"/>
          <w:szCs w:val="19"/>
        </w:rPr>
        <w:t xml:space="preserve">3  </w:t>
      </w:r>
      <w:r>
        <w:rPr>
          <w:rFonts w:ascii="Arial" w:cs="Arial" w:eastAsia="Arial" w:hAnsi="Arial"/>
          <w:b/>
          <w:bCs/>
          <w:color w:val="15233B"/>
          <w:sz w:val="19"/>
          <w:szCs w:val="19"/>
        </w:rPr>
        <w:t xml:space="preserve">Nachweise organisieren</w:t>
      </w:r>
    </w:p>
    <w:p>
      <w:pPr>
        <w:spacing w:after="30"/>
        <w:ind w:left="360"/>
      </w:pPr>
      <w:r>
        <w:rPr>
          <w:rFonts w:ascii="Arial" w:cs="Arial" w:eastAsia="Arial" w:hAnsi="Arial"/>
          <w:color w:val="15233B"/>
          <w:sz w:val="19"/>
          <w:szCs w:val="19"/>
        </w:rPr>
        <w:t xml:space="preserve">Konformitätserklärungen von Paletten-, Karton-, Folien- und Bandherstellern einholen. Stoffdaten je Komponente anfordern, mit Nachweisgrundlage (Prüfbericht oder Lieferantenerklärung). Art. 16 verpflichtet Lieferanten zur Mitwirkung.</w:t>
      </w:r>
    </w:p>
    <w:p>
      <w:pPr>
        <w:spacing w:after="80"/>
        <w:ind w:left="360"/>
      </w:pPr>
      <w:r>
        <w:rPr>
          <w:rFonts w:ascii="Arial" w:cs="Arial" w:eastAsia="Arial" w:hAnsi="Arial"/>
          <w:b/>
          <w:bCs/>
          <w:color w:val="15233B"/>
          <w:sz w:val="19"/>
          <w:szCs w:val="19"/>
        </w:rPr>
        <w:t xml:space="preserve">☐ erledigt   </w:t>
      </w:r>
      <w:r>
        <w:rPr>
          <w:rFonts w:ascii="Arial" w:cs="Arial" w:eastAsia="Arial" w:hAnsi="Arial"/>
          <w:color w:val="15233B"/>
          <w:sz w:val="19"/>
          <w:szCs w:val="19"/>
        </w:rPr>
        <w:t xml:space="preserve">Verantwortlich: ____________   Termin: ____________</w:t>
      </w:r>
    </w:p>
    <w:p>
      <w:pPr>
        <w:keepNext/>
        <w:spacing w:after="40" w:before="160"/>
      </w:pPr>
      <w:r>
        <w:rPr>
          <w:rFonts w:ascii="Arial" w:cs="Arial" w:eastAsia="Arial" w:hAnsi="Arial"/>
          <w:b/>
          <w:bCs/>
          <w:color w:val="1F63B3"/>
          <w:sz w:val="19"/>
          <w:szCs w:val="19"/>
        </w:rPr>
        <w:t xml:space="preserve">4  </w:t>
      </w:r>
      <w:r>
        <w:rPr>
          <w:rFonts w:ascii="Arial" w:cs="Arial" w:eastAsia="Arial" w:hAnsi="Arial"/>
          <w:b/>
          <w:bCs/>
          <w:color w:val="15233B"/>
          <w:sz w:val="19"/>
          <w:szCs w:val="19"/>
        </w:rPr>
        <w:t xml:space="preserve">Eigene Erklärungen ausstellen, Einheiten dokumentieren</w:t>
      </w:r>
    </w:p>
    <w:p>
      <w:pPr>
        <w:spacing w:after="30"/>
        <w:ind w:left="360"/>
      </w:pPr>
      <w:r>
        <w:rPr>
          <w:rFonts w:ascii="Arial" w:cs="Arial" w:eastAsia="Arial" w:hAnsi="Arial"/>
          <w:color w:val="15233B"/>
          <w:sz w:val="19"/>
          <w:szCs w:val="19"/>
        </w:rPr>
        <w:t xml:space="preserve">Für zusammengefügte Versandkartons und alles mit eigenem Logo: technische Dokumentation nach Anhang VII und Konformitätserklärung nach Anhang VIII je Verpackungsart. Für die gewickelte Palette mindestens eine eigene Dokumentation mit allen Komponenten und den Herstellererklärungen als Anlagen, weil Kommission und ZSVR den Erzeuger von Folie und Band unterschiedlich bestimmen. Nur die 2026 geltenden Anforderungen erklären.</w:t>
      </w:r>
    </w:p>
    <w:p>
      <w:pPr>
        <w:spacing w:after="80"/>
        <w:ind w:left="360"/>
      </w:pPr>
      <w:r>
        <w:rPr>
          <w:rFonts w:ascii="Arial" w:cs="Arial" w:eastAsia="Arial" w:hAnsi="Arial"/>
          <w:b/>
          <w:bCs/>
          <w:color w:val="15233B"/>
          <w:sz w:val="19"/>
          <w:szCs w:val="19"/>
        </w:rPr>
        <w:t xml:space="preserve">☐ erledigt   </w:t>
      </w:r>
      <w:r>
        <w:rPr>
          <w:rFonts w:ascii="Arial" w:cs="Arial" w:eastAsia="Arial" w:hAnsi="Arial"/>
          <w:color w:val="15233B"/>
          <w:sz w:val="19"/>
          <w:szCs w:val="19"/>
        </w:rPr>
        <w:t xml:space="preserve">Verantwortlich: ____________   Termin: ____________</w:t>
      </w:r>
    </w:p>
    <w:p>
      <w:pPr>
        <w:keepNext/>
        <w:spacing w:after="40" w:before="160"/>
      </w:pPr>
      <w:r>
        <w:rPr>
          <w:rFonts w:ascii="Arial" w:cs="Arial" w:eastAsia="Arial" w:hAnsi="Arial"/>
          <w:b/>
          <w:bCs/>
          <w:color w:val="1F63B3"/>
          <w:sz w:val="19"/>
          <w:szCs w:val="19"/>
        </w:rPr>
        <w:t xml:space="preserve">5  </w:t>
      </w:r>
      <w:r>
        <w:rPr>
          <w:rFonts w:ascii="Arial" w:cs="Arial" w:eastAsia="Arial" w:hAnsi="Arial"/>
          <w:b/>
          <w:bCs/>
          <w:color w:val="15233B"/>
          <w:sz w:val="19"/>
          <w:szCs w:val="19"/>
        </w:rPr>
        <w:t xml:space="preserve">Herstellerrolle je Zielmarkt klären</w:t>
      </w:r>
    </w:p>
    <w:p>
      <w:pPr>
        <w:spacing w:after="30"/>
        <w:ind w:left="360"/>
      </w:pPr>
      <w:r>
        <w:rPr>
          <w:rFonts w:ascii="Arial" w:cs="Arial" w:eastAsia="Arial" w:hAnsi="Arial"/>
          <w:color w:val="15233B"/>
          <w:sz w:val="19"/>
          <w:szCs w:val="19"/>
        </w:rPr>
        <w:t xml:space="preserve">Wohin liefern Sie, an Endabnehmer oder an weitervertreibende Unternehmen, und wer eröffnet dort die Lieferkette? Daraus folgen LUCID-Registrierung, Rücknahme nach § 39, Bevollmächtigte im EU-Ausland, Systembeteiligung für Versandverpackungen an Endabnehmer und ab 2028 die Zulassung nach § 19 VerpackDG.</w:t>
      </w:r>
    </w:p>
    <w:p>
      <w:pPr>
        <w:spacing w:after="80"/>
        <w:ind w:left="360"/>
      </w:pPr>
      <w:r>
        <w:rPr>
          <w:rFonts w:ascii="Arial" w:cs="Arial" w:eastAsia="Arial" w:hAnsi="Arial"/>
          <w:b/>
          <w:bCs/>
          <w:color w:val="15233B"/>
          <w:sz w:val="19"/>
          <w:szCs w:val="19"/>
        </w:rPr>
        <w:t xml:space="preserve">☐ erledigt   </w:t>
      </w:r>
      <w:r>
        <w:rPr>
          <w:rFonts w:ascii="Arial" w:cs="Arial" w:eastAsia="Arial" w:hAnsi="Arial"/>
          <w:color w:val="15233B"/>
          <w:sz w:val="19"/>
          <w:szCs w:val="19"/>
        </w:rPr>
        <w:t xml:space="preserve">Verantwortlich: ____________   Termin: ____________</w:t>
      </w:r>
    </w:p>
    <w:p>
      <w:pPr>
        <w:keepNext/>
        <w:spacing w:after="40" w:before="160"/>
      </w:pPr>
      <w:r>
        <w:rPr>
          <w:rFonts w:ascii="Arial" w:cs="Arial" w:eastAsia="Arial" w:hAnsi="Arial"/>
          <w:b/>
          <w:bCs/>
          <w:color w:val="1F63B3"/>
          <w:sz w:val="19"/>
          <w:szCs w:val="19"/>
        </w:rPr>
        <w:t xml:space="preserve">6  </w:t>
      </w:r>
      <w:r>
        <w:rPr>
          <w:rFonts w:ascii="Arial" w:cs="Arial" w:eastAsia="Arial" w:hAnsi="Arial"/>
          <w:b/>
          <w:bCs/>
          <w:color w:val="15233B"/>
          <w:sz w:val="19"/>
          <w:szCs w:val="19"/>
        </w:rPr>
        <w:t xml:space="preserve">2030 vorbereiten</w:t>
      </w:r>
    </w:p>
    <w:p>
      <w:pPr>
        <w:spacing w:after="30"/>
        <w:ind w:left="360"/>
      </w:pPr>
      <w:r>
        <w:rPr>
          <w:rFonts w:ascii="Arial" w:cs="Arial" w:eastAsia="Arial" w:hAnsi="Arial"/>
          <w:color w:val="15233B"/>
          <w:sz w:val="19"/>
          <w:szCs w:val="19"/>
        </w:rPr>
        <w:t xml:space="preserve">Anteil wiederverwendbarer Transportverpackungen ermitteln (Ziel 40 %, Binnenverkehr 100 %), Leerraum je Versandeinheit messen (höchstens 50 %, Füllmaterial zählt mit), Poolsysteme und Wiederverwendungssystem nach Anhang VI prüfen.</w:t>
      </w:r>
    </w:p>
    <w:p>
      <w:pPr>
        <w:spacing w:after="80"/>
        <w:ind w:left="360"/>
      </w:pPr>
      <w:r>
        <w:rPr>
          <w:rFonts w:ascii="Arial" w:cs="Arial" w:eastAsia="Arial" w:hAnsi="Arial"/>
          <w:b/>
          <w:bCs/>
          <w:color w:val="15233B"/>
          <w:sz w:val="19"/>
          <w:szCs w:val="19"/>
        </w:rPr>
        <w:t xml:space="preserve">☐ erledigt   </w:t>
      </w:r>
      <w:r>
        <w:rPr>
          <w:rFonts w:ascii="Arial" w:cs="Arial" w:eastAsia="Arial" w:hAnsi="Arial"/>
          <w:color w:val="15233B"/>
          <w:sz w:val="19"/>
          <w:szCs w:val="19"/>
        </w:rPr>
        <w:t xml:space="preserve">Verantwortlich: ____________   Termin: ____________</w:t>
      </w:r>
    </w:p>
    <w:p>
      <w:pPr>
        <w:pStyle w:val="Heading1"/>
        <w:spacing w:after="160" w:before="240"/>
      </w:pPr>
      <w:r>
        <w:rPr>
          <w:rFonts w:ascii="Arial" w:cs="Arial" w:eastAsia="Arial" w:hAnsi="Arial"/>
          <w:b/>
          <w:bCs/>
          <w:color w:val="15233B"/>
          <w:sz w:val="30"/>
          <w:szCs w:val="30"/>
        </w:rPr>
        <w:t xml:space="preserve">Teil C: Termine</w:t>
      </w:r>
    </w:p>
    <w:tbl>
      <w:tblPr>
        <w:tblW w:type="dxa" w:w="14570"/>
        <w:tblBorders>
          <w:top w:val="single" w:color="auto" w:sz="4"/>
          <w:left w:val="single" w:color="auto" w:sz="4"/>
          <w:bottom w:val="single" w:color="auto" w:sz="4"/>
          <w:right w:val="single" w:color="auto" w:sz="4"/>
          <w:insideH w:val="single" w:color="auto" w:sz="4"/>
          <w:insideV w:val="single" w:color="auto" w:sz="4"/>
        </w:tblBorders>
      </w:tblPr>
      <w:tblGrid>
        <w:gridCol w:w="2600"/>
        <w:gridCol w:w="11970"/>
      </w:tblGrid>
      <w:tr>
        <w:trPr>
          <w:tblHeader/>
        </w:trPr>
        <w:tc>
          <w:tcPr>
            <w:tcW w:type="dxa" w:w="26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40" w:line="250"/>
            </w:pPr>
            <w:r>
              <w:rPr>
                <w:rFonts w:ascii="Arial" w:cs="Arial" w:eastAsia="Arial" w:hAnsi="Arial"/>
                <w:b/>
                <w:bCs/>
                <w:color w:val="15233B"/>
                <w:sz w:val="17"/>
                <w:szCs w:val="17"/>
              </w:rPr>
              <w:t xml:space="preserve">Datum</w:t>
            </w:r>
          </w:p>
        </w:tc>
        <w:tc>
          <w:tcPr>
            <w:tcW w:type="dxa" w:w="1197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40" w:line="250"/>
            </w:pPr>
            <w:r>
              <w:rPr>
                <w:rFonts w:ascii="Arial" w:cs="Arial" w:eastAsia="Arial" w:hAnsi="Arial"/>
                <w:b/>
                <w:bCs/>
                <w:color w:val="15233B"/>
                <w:sz w:val="17"/>
                <w:szCs w:val="17"/>
              </w:rPr>
              <w:t xml:space="preserve">Was gilt</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12.08.2026</w:t>
            </w:r>
          </w:p>
        </w:tc>
        <w:tc>
          <w:tcPr>
            <w:tcW w:type="dxa" w:w="119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Art. 5, 6 Abs. 1, 11, 15, 22, 26, 38, 39 für alle Transportverpackungen. Deutschland: LUCID-Registrierung (§ 6), Rücknahme am Übergabeort (§ 39), Versandverpackungen an Endabnehmer systembeteiligungspflichtig (ZSVR).</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12.11.2026</w:t>
            </w:r>
          </w:p>
        </w:tc>
        <w:tc>
          <w:tcPr>
            <w:tcW w:type="dxa" w:w="119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Deutschland: Änderungen bestehender LUCID-Registrierungen nachtragen (§ 68 Abs. 2 VerpackDG).</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30.06.2027</w:t>
            </w:r>
          </w:p>
        </w:tc>
        <w:tc>
          <w:tcPr>
            <w:tcW w:type="dxa" w:w="119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Kommission legt die Berechnungsmethode für die Wiederverwendungsziele fest (Art. 30 Abs. 3).</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01.01.2028</w:t>
            </w:r>
          </w:p>
        </w:tc>
        <w:tc>
          <w:tcPr>
            <w:tcW w:type="dxa" w:w="119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Deutschland: Zulassung nach § 19 VerpackDG für Hersteller nicht systembeteiligungspflichtiger Verpackungen, alternativ zugelassene sonstige Organisation für Herstellerverantwortung. ZSVR-Antragssysteme voraussichtlich ab Herbst 2027.</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12.02.2028</w:t>
            </w:r>
          </w:p>
        </w:tc>
        <w:tc>
          <w:tcPr>
            <w:tcW w:type="dxa" w:w="119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Kommission legt die Berechnungsmethode für das Leerraumverhältnis fest (Art. 24 Abs. 2).</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12.08.2028</w:t>
            </w:r>
          </w:p>
        </w:tc>
        <w:tc>
          <w:tcPr>
            <w:tcW w:type="dxa" w:w="119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Sortierkennzeichnung nach Art. 12 Abs. 1, nicht für Transportverpackungen, außer Verpackungen für den elektronischen Handel (oder 24 Monate nach dem Durchführungsrechtsakt).</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12.02.2029</w:t>
            </w:r>
          </w:p>
        </w:tc>
        <w:tc>
          <w:tcPr>
            <w:tcW w:type="dxa" w:w="119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Kennzeichnung wiederverwendbarer Verpackungen nach Art. 12 Abs. 2 (oder 30 Monate nach dem Durchführungsrechtsakt).</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01.01.2030</w:t>
            </w:r>
          </w:p>
        </w:tc>
        <w:tc>
          <w:tcPr>
            <w:tcW w:type="dxa" w:w="119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Leerraum höchstens 50 % (Art. 24), Wiederverwendung 40 % bzw. 100 % im Binnenverkehr (Art. 29), Verpackungsminimierung (Art. 10), Leistungsstufen Recyclingfähigkeit (Art. 6 Abs. 2), jeweils teils abhängig von Rechtsakten der Kommission.</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01.01.2040</w:t>
            </w:r>
          </w:p>
        </w:tc>
        <w:tc>
          <w:tcPr>
            <w:tcW w:type="dxa" w:w="119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Zielwert 70 % wiederverwendbare Transportverpackungen (Bemühenspflicht, Art. 29 Abs. 1).</w:t>
            </w:r>
          </w:p>
        </w:tc>
      </w:tr>
    </w:tbl>
    <w:p>
      <w:r>
        <w:br w:type="page"/>
      </w:r>
    </w:p>
    <w:p>
      <w:pPr>
        <w:pStyle w:val="Heading1"/>
        <w:spacing w:after="160" w:before="240"/>
      </w:pPr>
      <w:r>
        <w:rPr>
          <w:rFonts w:ascii="Arial" w:cs="Arial" w:eastAsia="Arial" w:hAnsi="Arial"/>
          <w:b/>
          <w:bCs/>
          <w:color w:val="15233B"/>
          <w:sz w:val="30"/>
          <w:szCs w:val="30"/>
        </w:rPr>
        <w:t xml:space="preserve">Teil D: Bestandsaufnahme Ihrer Transportverpackungen</w:t>
      </w:r>
    </w:p>
    <w:p>
      <w:pPr>
        <w:spacing w:after="160"/>
      </w:pPr>
      <w:r>
        <w:rPr>
          <w:rFonts w:ascii="Arial" w:cs="Arial" w:eastAsia="Arial" w:hAnsi="Arial"/>
          <w:i/>
          <w:iCs/>
          <w:color w:val="5C6672"/>
          <w:sz w:val="18"/>
          <w:szCs w:val="18"/>
        </w:rPr>
        <w:t xml:space="preserve">Eine Zeile je Verpackungsart. Die Spalten Erzeuger und Konformitätserklärung nach Teil A ausfüllen.</w:t>
      </w:r>
    </w:p>
    <w:tbl>
      <w:tblPr>
        <w:tblW w:type="dxa" w:w="1457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500"/>
        <w:gridCol w:w="1000"/>
        <w:gridCol w:w="1200"/>
        <w:gridCol w:w="1500"/>
        <w:gridCol w:w="1500"/>
        <w:gridCol w:w="1900"/>
        <w:gridCol w:w="2070"/>
      </w:tblGrid>
      <w:tr>
        <w:trPr>
          <w:tblHeader/>
        </w:trPr>
        <w:tc>
          <w:tcPr>
            <w:tcW w:type="dxa" w:w="22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40" w:line="250"/>
            </w:pPr>
            <w:r>
              <w:rPr>
                <w:rFonts w:ascii="Arial" w:cs="Arial" w:eastAsia="Arial" w:hAnsi="Arial"/>
                <w:b/>
                <w:bCs/>
                <w:color w:val="15233B"/>
                <w:sz w:val="17"/>
                <w:szCs w:val="17"/>
              </w:rPr>
              <w:t xml:space="preserve">Verpackungsart</w:t>
            </w:r>
          </w:p>
        </w:tc>
        <w:tc>
          <w:tcPr>
            <w:tcW w:type="dxa" w:w="17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40" w:line="250"/>
            </w:pPr>
            <w:r>
              <w:rPr>
                <w:rFonts w:ascii="Arial" w:cs="Arial" w:eastAsia="Arial" w:hAnsi="Arial"/>
                <w:b/>
                <w:bCs/>
                <w:color w:val="15233B"/>
                <w:sz w:val="17"/>
                <w:szCs w:val="17"/>
              </w:rPr>
              <w:t xml:space="preserve">Lieferant</w:t>
            </w:r>
          </w:p>
        </w:tc>
        <w:tc>
          <w:tcPr>
            <w:tcW w:type="dxa" w:w="15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40" w:line="250"/>
            </w:pPr>
            <w:r>
              <w:rPr>
                <w:rFonts w:ascii="Arial" w:cs="Arial" w:eastAsia="Arial" w:hAnsi="Arial"/>
                <w:b/>
                <w:bCs/>
                <w:color w:val="15233B"/>
                <w:sz w:val="17"/>
                <w:szCs w:val="17"/>
              </w:rPr>
              <w:t xml:space="preserve">Material</w:t>
            </w:r>
          </w:p>
        </w:tc>
        <w:tc>
          <w:tcPr>
            <w:tcW w:type="dxa" w:w="10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40" w:line="250"/>
            </w:pPr>
            <w:r>
              <w:rPr>
                <w:rFonts w:ascii="Arial" w:cs="Arial" w:eastAsia="Arial" w:hAnsi="Arial"/>
                <w:b/>
                <w:bCs/>
                <w:color w:val="15233B"/>
                <w:sz w:val="17"/>
                <w:szCs w:val="17"/>
              </w:rPr>
              <w:t xml:space="preserve">Gewicht (g)</w:t>
            </w:r>
          </w:p>
        </w:tc>
        <w:tc>
          <w:tcPr>
            <w:tcW w:type="dxa" w:w="12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40" w:line="250"/>
            </w:pPr>
            <w:r>
              <w:rPr>
                <w:rFonts w:ascii="Arial" w:cs="Arial" w:eastAsia="Arial" w:hAnsi="Arial"/>
                <w:b/>
                <w:bCs/>
                <w:color w:val="15233B"/>
                <w:sz w:val="17"/>
                <w:szCs w:val="17"/>
              </w:rPr>
              <w:t xml:space="preserve">Einweg / Mehrweg</w:t>
            </w:r>
          </w:p>
        </w:tc>
        <w:tc>
          <w:tcPr>
            <w:tcW w:type="dxa" w:w="15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40" w:line="250"/>
            </w:pPr>
            <w:r>
              <w:rPr>
                <w:rFonts w:ascii="Arial" w:cs="Arial" w:eastAsia="Arial" w:hAnsi="Arial"/>
                <w:b/>
                <w:bCs/>
                <w:color w:val="15233B"/>
                <w:sz w:val="17"/>
                <w:szCs w:val="17"/>
              </w:rPr>
              <w:t xml:space="preserve">Zielmärkte</w:t>
            </w:r>
          </w:p>
        </w:tc>
        <w:tc>
          <w:tcPr>
            <w:tcW w:type="dxa" w:w="15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40" w:line="250"/>
            </w:pPr>
            <w:r>
              <w:rPr>
                <w:rFonts w:ascii="Arial" w:cs="Arial" w:eastAsia="Arial" w:hAnsi="Arial"/>
                <w:b/>
                <w:bCs/>
                <w:color w:val="15233B"/>
                <w:sz w:val="17"/>
                <w:szCs w:val="17"/>
              </w:rPr>
              <w:t xml:space="preserve">Erzeuger</w:t>
            </w:r>
          </w:p>
        </w:tc>
        <w:tc>
          <w:tcPr>
            <w:tcW w:type="dxa" w:w="19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40" w:line="250"/>
            </w:pPr>
            <w:r>
              <w:rPr>
                <w:rFonts w:ascii="Arial" w:cs="Arial" w:eastAsia="Arial" w:hAnsi="Arial"/>
                <w:b/>
                <w:bCs/>
                <w:color w:val="15233B"/>
                <w:sz w:val="17"/>
                <w:szCs w:val="17"/>
              </w:rPr>
              <w:t xml:space="preserve">Erklärung: einholen / ausstellen</w:t>
            </w:r>
          </w:p>
        </w:tc>
        <w:tc>
          <w:tcPr>
            <w:tcW w:type="dxa" w:w="207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40" w:line="250"/>
            </w:pPr>
            <w:r>
              <w:rPr>
                <w:rFonts w:ascii="Arial" w:cs="Arial" w:eastAsia="Arial" w:hAnsi="Arial"/>
                <w:b/>
                <w:bCs/>
                <w:color w:val="15233B"/>
                <w:sz w:val="17"/>
                <w:szCs w:val="17"/>
              </w:rPr>
              <w:t xml:space="preserve">Status, Nachweis</w:t>
            </w:r>
          </w:p>
        </w:tc>
      </w:tr>
      <w:tr>
        <w:trPr>
          <w:tblHeader w:val="false"/>
        </w:trPr>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20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r>
      <w:tr>
        <w:trPr>
          <w:tblHeader w:val="false"/>
        </w:trPr>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20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r>
      <w:tr>
        <w:trPr>
          <w:tblHeader w:val="false"/>
        </w:trPr>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20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r>
      <w:tr>
        <w:trPr>
          <w:tblHeader w:val="false"/>
        </w:trPr>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20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r>
      <w:tr>
        <w:trPr>
          <w:tblHeader w:val="false"/>
        </w:trPr>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20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r>
      <w:tr>
        <w:trPr>
          <w:tblHeader w:val="false"/>
        </w:trPr>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20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r>
      <w:tr>
        <w:trPr>
          <w:tblHeader w:val="false"/>
        </w:trPr>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20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r>
      <w:tr>
        <w:trPr>
          <w:tblHeader w:val="false"/>
        </w:trPr>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20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r>
      <w:tr>
        <w:trPr>
          <w:tblHeader w:val="false"/>
        </w:trPr>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20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r>
      <w:tr>
        <w:trPr>
          <w:tblHeader w:val="false"/>
        </w:trPr>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20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r>
      <w:tr>
        <w:trPr>
          <w:tblHeader w:val="false"/>
        </w:trPr>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20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r>
      <w:tr>
        <w:trPr>
          <w:tblHeader w:val="false"/>
        </w:trPr>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c>
          <w:tcPr>
            <w:tcW w:type="dxa" w:w="207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40" w:line="250"/>
            </w:pPr>
            <w:r>
              <w:rPr>
                <w:rFonts w:ascii="Arial" w:cs="Arial" w:eastAsia="Arial" w:hAnsi="Arial"/>
                <w:b w:val="false"/>
                <w:bCs w:val="false"/>
                <w:color w:val="15233B"/>
                <w:sz w:val="17"/>
                <w:szCs w:val="17"/>
              </w:rPr>
              <w:t xml:space="preserve"/>
            </w:r>
          </w:p>
        </w:tc>
      </w:tr>
    </w:tbl>
    <w:sectPr>
      <w:headerReference w:type="default" r:id="rId7"/>
      <w:footerReference w:type="default" r:id="rId8"/>
      <w:pgSz w:w="16838" w:h="11906" w:orient="landscape"/>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1DC" w:sz="4" w:space="4"/>
      </w:pBdr>
      <w:tabs>
        <w:tab w:val="right" w:pos="14570"/>
      </w:tabs>
    </w:pPr>
    <w:r>
      <w:rPr>
        <w:rFonts w:ascii="Arial" w:cs="Arial" w:eastAsia="Arial" w:hAnsi="Arial"/>
        <w:color w:val="5C6672"/>
        <w:sz w:val="14"/>
        <w:szCs w:val="14"/>
      </w:rPr>
      <w:t xml:space="preserve">Checkliste bereitgestellt von Polygon One GmbH, polygon-one.com. Stand September 2026. Keine Rechtsberatung; Rollen und Pflichten sind im Einzelfall zu prüfen.</w:t>
    </w:r>
    <w:r>
      <w:rPr>
        <w:rFonts w:ascii="Arial" w:cs="Arial" w:eastAsia="Arial" w:hAnsi="Arial"/>
      </w:rPr>
      <w:t xml:space="preserve">	</w:t>
    </w:r>
    <w:r>
      <w:rPr>
        <w:rFonts w:ascii="Arial" w:cs="Arial" w:eastAsia="Arial" w:hAnsi="Arial"/>
        <w:color w:val="5C6672"/>
        <w:sz w:val="14"/>
        <w:szCs w:val="14"/>
      </w:rPr>
      <w:t xml:space="preserve">Seite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1DC" w:sz="4" w:space="4"/>
      </w:pBdr>
      <w:tabs>
        <w:tab w:val="right" w:pos="14570"/>
      </w:tabs>
      <w:spacing w:after="120"/>
    </w:pPr>
    <w:r>
      <w:rPr>
        <w:rFonts w:ascii="Arial" w:cs="Arial" w:eastAsia="Arial" w:hAnsi="Arial"/>
        <w:color w:val="5C6672"/>
        <w:sz w:val="16"/>
        <w:szCs w:val="16"/>
      </w:rPr>
      <w:t xml:space="preserve">PPWR-Checkliste Transportverpackungen: Pflichten je Verpackungsart im B2B</w:t>
    </w:r>
    <w:r>
      <w:rPr>
        <w:rFonts w:ascii="Arial" w:cs="Arial" w:eastAsia="Arial" w:hAnsi="Arial"/>
      </w:rPr>
      <w:t xml:space="preserve">	</w:t>
    </w:r>
    <w:r>
      <w:drawing>
        <wp:inline distT="0" distB="0" distL="0" distR="0">
          <wp:extent cx="914400" cy="12858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914400" cy="12858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5233B"/>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f7aa91b198ce0b46bce71dd75501b101bd0952c.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PPWR-Checkliste Transportverpackungen</dc:title>
  <dc:creator>Polygon One GmbH</dc:creator>
  <cp:lastModifiedBy>Un-named</cp:lastModifiedBy>
  <cp:revision>1</cp:revision>
  <dcterms:created xsi:type="dcterms:W3CDTF">2026-09-04T15:49:43.752Z</dcterms:created>
  <dcterms:modified xsi:type="dcterms:W3CDTF">2026-09-04T15:49:43.752Z</dcterms:modified>
</cp:coreProperties>
</file>

<file path=docProps/custom.xml><?xml version="1.0" encoding="utf-8"?>
<Properties xmlns="http://schemas.openxmlformats.org/officeDocument/2006/custom-properties" xmlns:vt="http://schemas.openxmlformats.org/officeDocument/2006/docPropsVTypes"/>
</file>