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Sorgfaltspflichtregelung nach Artikel 12 der Verordnung (EU) 2023/1115 (EUDR), ausgefülltes Muster</w:t>
      </w:r>
    </w:p>
    <w:tbl>
      <w:tblPr>
        <w:tblStyle w:val="TableGrid"/>
        <w:tblW w:type="dxa" w:w="9637"/>
        <w:tblLayout w:type="fixed"/>
        <w:tblLook w:firstColumn="1" w:firstRow="1" w:lastColumn="0" w:lastRow="0" w:noHBand="0" w:noVBand="1" w:val="04A0"/>
      </w:tblPr>
      <w:tblGrid>
        <w:gridCol w:w="9638"/>
      </w:tblGrid>
      <w:tr>
        <w:tc>
          <w:tcPr>
            <w:tcW w:type="dxa" w:w="9638"/>
            <w:tcBorders>
              <w:top w:val="single" w:sz="8" w:color="9C2A1E"/>
              <w:left w:val="single" w:sz="8" w:color="9C2A1E"/>
              <w:bottom w:val="single" w:sz="8" w:color="9C2A1E"/>
              <w:right w:val="single" w:sz="8" w:color="9C2A1E"/>
            </w:tcBorders>
            <w:shd w:val="clear" w:color="auto" w:fill="FBEAEA"/>
          </w:tcPr>
          <w:p>
            <w:pPr>
              <w:spacing w:after="40"/>
            </w:pPr>
            <w:r>
              <w:rPr>
                <w:b w:val="0"/>
                <w:i w:val="0"/>
                <w:color w:val="9C2A1E"/>
                <w:sz w:val="19"/>
              </w:rPr>
              <w:t>Fiktives Muster. Unternehmen, Personen, Lieferanten, Flächen, Mengen und Befunde sind erfunden. Das Muster zeigt Aufbau und Tiefe einer Regelung, keine realen Ergebnisse und keine Rechtsberatung. Schreiben Sie Ihre eigene Regelung in der leeren Vorlage; eine abgeschriebene Regelung bildet nicht Ihre Lieferketten ab. Werkzeuge sind neutral benannt. Codes nach Anhang I mit „ex“: erfasst nur, soweit aus Holz; die Einreihung der Gartenbänke unter 9401 69 00 ist eine Annahme des Musters. Dass Artikel 13 je Lieferkette angewendet wird, ist unsere Auslegung. Erläuterungen: polygon-one.com/eudr-sorgfaltspflichtregelung-vorlage.</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402"/>
        <w:gridCol w:w="6236"/>
      </w:tblGrid>
      <w:tr>
        <w:trPr>
          <w:tblHeader w:val="true"/>
        </w:trPr>
        <w:tc>
          <w:tcPr>
            <w:tcW w:type="dxa" w:w="3402"/>
            <w:shd w:val="clear" w:color="auto" w:fill="D9E2EC"/>
          </w:tcPr>
          <w:p>
            <w:pPr>
              <w:spacing w:after="40" w:line="252" w:lineRule="auto"/>
            </w:pPr>
            <w:r>
              <w:rPr>
                <w:b/>
                <w:i w:val="0"/>
                <w:sz w:val="19"/>
              </w:rPr>
              <w:t>Feld</w:t>
            </w:r>
          </w:p>
        </w:tc>
        <w:tc>
          <w:tcPr>
            <w:tcW w:type="dxa" w:w="6236"/>
            <w:shd w:val="clear" w:color="auto" w:fill="D9E2EC"/>
          </w:tcPr>
          <w:p>
            <w:pPr>
              <w:spacing w:after="40" w:line="252" w:lineRule="auto"/>
            </w:pPr>
            <w:r>
              <w:rPr>
                <w:b/>
                <w:i w:val="0"/>
                <w:sz w:val="19"/>
              </w:rPr>
              <w:t>Eintrag</w:t>
            </w:r>
          </w:p>
        </w:tc>
      </w:tr>
      <w:tr>
        <w:tc>
          <w:tcPr>
            <w:tcW w:type="dxa" w:w="3402"/>
          </w:tcPr>
          <w:p>
            <w:pPr>
              <w:spacing w:after="40" w:line="252" w:lineRule="auto"/>
            </w:pPr>
            <w:r>
              <w:rPr>
                <w:b/>
                <w:i w:val="0"/>
                <w:sz w:val="19"/>
              </w:rPr>
              <w:t>Unternehmen</w:t>
            </w:r>
          </w:p>
        </w:tc>
        <w:tc>
          <w:tcPr>
            <w:tcW w:type="dxa" w:w="6236"/>
          </w:tcPr>
          <w:p>
            <w:pPr>
              <w:spacing w:after="40" w:line="252" w:lineRule="auto"/>
            </w:pPr>
            <w:r>
              <w:rPr>
                <w:b w:val="0"/>
                <w:i w:val="0"/>
                <w:sz w:val="19"/>
              </w:rPr>
              <w:t>Muster Holz &amp; Möbel GmbH (fiktiv)</w:t>
            </w:r>
          </w:p>
        </w:tc>
      </w:tr>
      <w:tr>
        <w:tc>
          <w:tcPr>
            <w:tcW w:type="dxa" w:w="3402"/>
          </w:tcPr>
          <w:p>
            <w:pPr>
              <w:spacing w:after="40" w:line="252" w:lineRule="auto"/>
            </w:pPr>
            <w:r>
              <w:rPr>
                <w:b/>
                <w:i w:val="0"/>
                <w:sz w:val="19"/>
              </w:rPr>
              <w:t>Rechtsform, Sitz, Handelsregister</w:t>
            </w:r>
          </w:p>
        </w:tc>
        <w:tc>
          <w:tcPr>
            <w:tcW w:type="dxa" w:w="6236"/>
          </w:tcPr>
          <w:p>
            <w:pPr>
              <w:spacing w:after="40" w:line="252" w:lineRule="auto"/>
            </w:pPr>
            <w:r>
              <w:rPr>
                <w:b w:val="0"/>
                <w:i w:val="0"/>
                <w:sz w:val="19"/>
              </w:rPr>
              <w:t>GmbH, Musterstadt (fiktiv), HRB 00000 (fiktiv)</w:t>
            </w:r>
          </w:p>
        </w:tc>
      </w:tr>
      <w:tr>
        <w:tc>
          <w:tcPr>
            <w:tcW w:type="dxa" w:w="3402"/>
          </w:tcPr>
          <w:p>
            <w:pPr>
              <w:spacing w:after="40" w:line="252" w:lineRule="auto"/>
            </w:pPr>
            <w:r>
              <w:rPr>
                <w:b/>
                <w:i w:val="0"/>
                <w:sz w:val="19"/>
              </w:rPr>
              <w:t>EORI-Nummer</w:t>
            </w:r>
          </w:p>
        </w:tc>
        <w:tc>
          <w:tcPr>
            <w:tcW w:type="dxa" w:w="6236"/>
          </w:tcPr>
          <w:p>
            <w:pPr>
              <w:spacing w:after="40" w:line="252" w:lineRule="auto"/>
            </w:pPr>
            <w:r>
              <w:rPr>
                <w:b w:val="0"/>
                <w:i w:val="0"/>
                <w:sz w:val="19"/>
              </w:rPr>
              <w:t>DE0000000000000 (fiktiv)</w:t>
            </w:r>
          </w:p>
        </w:tc>
      </w:tr>
      <w:tr>
        <w:tc>
          <w:tcPr>
            <w:tcW w:type="dxa" w:w="3402"/>
          </w:tcPr>
          <w:p>
            <w:pPr>
              <w:spacing w:after="40" w:line="252" w:lineRule="auto"/>
            </w:pPr>
            <w:r>
              <w:rPr>
                <w:b/>
                <w:i w:val="0"/>
                <w:sz w:val="19"/>
              </w:rPr>
              <w:t>Kennung im EU-Informationssystem</w:t>
            </w:r>
          </w:p>
        </w:tc>
        <w:tc>
          <w:tcPr>
            <w:tcW w:type="dxa" w:w="6236"/>
          </w:tcPr>
          <w:p>
            <w:pPr>
              <w:spacing w:after="40" w:line="252" w:lineRule="auto"/>
            </w:pPr>
            <w:r>
              <w:rPr>
                <w:b w:val="0"/>
                <w:i w:val="0"/>
                <w:sz w:val="19"/>
              </w:rPr>
              <w:t>liegt vor (im Muster nicht angegeben)</w:t>
            </w:r>
          </w:p>
        </w:tc>
      </w:tr>
      <w:tr>
        <w:tc>
          <w:tcPr>
            <w:tcW w:type="dxa" w:w="3402"/>
          </w:tcPr>
          <w:p>
            <w:pPr>
              <w:spacing w:after="40" w:line="252" w:lineRule="auto"/>
            </w:pPr>
            <w:r>
              <w:rPr>
                <w:b/>
                <w:i w:val="0"/>
                <w:sz w:val="19"/>
              </w:rPr>
              <w:t>Version</w:t>
            </w:r>
          </w:p>
        </w:tc>
        <w:tc>
          <w:tcPr>
            <w:tcW w:type="dxa" w:w="6236"/>
          </w:tcPr>
          <w:p>
            <w:pPr>
              <w:spacing w:after="40" w:line="252" w:lineRule="auto"/>
            </w:pPr>
            <w:r>
              <w:rPr>
                <w:b w:val="0"/>
                <w:i w:val="0"/>
                <w:sz w:val="19"/>
              </w:rPr>
              <w:t>1.1</w:t>
            </w:r>
          </w:p>
        </w:tc>
      </w:tr>
      <w:tr>
        <w:tc>
          <w:tcPr>
            <w:tcW w:type="dxa" w:w="3402"/>
          </w:tcPr>
          <w:p>
            <w:pPr>
              <w:spacing w:after="40" w:line="252" w:lineRule="auto"/>
            </w:pPr>
            <w:r>
              <w:rPr>
                <w:b/>
                <w:i w:val="0"/>
                <w:sz w:val="19"/>
              </w:rPr>
              <w:t>Gültig ab</w:t>
            </w:r>
          </w:p>
        </w:tc>
        <w:tc>
          <w:tcPr>
            <w:tcW w:type="dxa" w:w="6236"/>
          </w:tcPr>
          <w:p>
            <w:pPr>
              <w:spacing w:after="40" w:line="252" w:lineRule="auto"/>
            </w:pPr>
            <w:r>
              <w:rPr>
                <w:b w:val="0"/>
                <w:i w:val="0"/>
                <w:sz w:val="19"/>
              </w:rPr>
              <w:t>20.01.2027 (Version 1.0 ab 14.12.2026)</w:t>
            </w:r>
          </w:p>
        </w:tc>
      </w:tr>
      <w:tr>
        <w:tc>
          <w:tcPr>
            <w:tcW w:type="dxa" w:w="3402"/>
          </w:tcPr>
          <w:p>
            <w:pPr>
              <w:spacing w:after="40" w:line="252" w:lineRule="auto"/>
            </w:pPr>
            <w:r>
              <w:rPr>
                <w:b/>
                <w:i w:val="0"/>
                <w:sz w:val="19"/>
              </w:rPr>
              <w:t>Freigegeben durch die Geschäftsleitung</w:t>
            </w:r>
          </w:p>
        </w:tc>
        <w:tc>
          <w:tcPr>
            <w:tcW w:type="dxa" w:w="6236"/>
          </w:tcPr>
          <w:p>
            <w:pPr>
              <w:spacing w:after="40" w:line="252" w:lineRule="auto"/>
            </w:pPr>
            <w:r>
              <w:rPr>
                <w:b w:val="0"/>
                <w:i w:val="0"/>
                <w:sz w:val="19"/>
              </w:rPr>
              <w:t>Geschäftsführung, 20.01.2027</w:t>
            </w:r>
          </w:p>
        </w:tc>
      </w:tr>
      <w:tr>
        <w:tc>
          <w:tcPr>
            <w:tcW w:type="dxa" w:w="3402"/>
          </w:tcPr>
          <w:p>
            <w:pPr>
              <w:spacing w:after="40" w:line="252" w:lineRule="auto"/>
            </w:pPr>
            <w:r>
              <w:rPr>
                <w:b/>
                <w:i w:val="0"/>
                <w:sz w:val="19"/>
              </w:rPr>
              <w:t>Nächste planmäßige Überprüfung</w:t>
            </w:r>
          </w:p>
        </w:tc>
        <w:tc>
          <w:tcPr>
            <w:tcW w:type="dxa" w:w="6236"/>
          </w:tcPr>
          <w:p>
            <w:pPr>
              <w:spacing w:after="40" w:line="252" w:lineRule="auto"/>
            </w:pPr>
            <w:r>
              <w:rPr>
                <w:b w:val="0"/>
                <w:i w:val="0"/>
                <w:sz w:val="19"/>
              </w:rPr>
              <w:t>November 2027</w:t>
            </w:r>
          </w:p>
        </w:tc>
      </w:tr>
    </w:tbl>
    <w:p>
      <w:pPr>
        <w:spacing w:after="40"/>
      </w:pPr>
    </w:p>
    <w:p>
      <w:pPr>
        <w:pStyle w:val="Heading1"/>
      </w:pPr>
      <w:r>
        <w:t>Inhalt</w:t>
      </w:r>
    </w:p>
    <w:p>
      <w:r>
        <w:rPr>
          <w:b w:val="0"/>
          <w:i/>
          <w:color w:val="595959"/>
          <w:sz w:val="16"/>
        </w:rPr>
        <w:t>In Word: in das Verzeichnis klicken und F9 drücken, dann stehen die Seitenzahlen dabei.</w:t>
      </w:r>
    </w:p>
    <w:p>
      <w:pPr>
        <w:spacing w:after="20"/>
        <w:ind w:left="0"/>
      </w:pPr>
      <w:r>
        <w:fldChar w:fldCharType="begin"/>
      </w:r>
      <w:r>
        <w:instrText xml:space="preserve">TOC \o "1-2" \h \z \u</w:instrText>
      </w:r>
      <w:r>
        <w:fldChar w:fldCharType="separate"/>
      </w:r>
      <w:r>
        <w:rPr>
          <w:b/>
          <w:sz w:val="19"/>
        </w:rPr>
        <w:t>Lenkung und Änderungsprotokoll</w:t>
      </w:r>
    </w:p>
    <w:p>
      <w:pPr>
        <w:spacing w:after="20"/>
        <w:ind w:left="0"/>
      </w:pPr>
      <w:r>
        <w:rPr>
          <w:b/>
          <w:sz w:val="19"/>
        </w:rPr>
        <w:t>So ist die Regelung aufgebaut</w:t>
      </w:r>
    </w:p>
    <w:p>
      <w:pPr>
        <w:spacing w:after="20"/>
        <w:ind w:left="0"/>
      </w:pPr>
      <w:r>
        <w:rPr>
          <w:b/>
          <w:sz w:val="19"/>
        </w:rPr>
        <w:t>Teil A: Rahmen</w:t>
      </w:r>
    </w:p>
    <w:p>
      <w:pPr>
        <w:spacing w:after="20"/>
        <w:ind w:left="340"/>
      </w:pPr>
      <w:r>
        <w:rPr>
          <w:b w:val="0"/>
          <w:sz w:val="18"/>
        </w:rPr>
        <w:t>Baustein 1: Geltungsbereich und Unternehmensgröße</w:t>
      </w:r>
    </w:p>
    <w:p>
      <w:pPr>
        <w:spacing w:after="20"/>
        <w:ind w:left="340"/>
      </w:pPr>
      <w:r>
        <w:rPr>
          <w:b w:val="0"/>
          <w:sz w:val="18"/>
        </w:rPr>
        <w:t>Baustein 2: Rollen je Beschaffungsweg</w:t>
      </w:r>
    </w:p>
    <w:p>
      <w:pPr>
        <w:spacing w:after="20"/>
        <w:ind w:left="340"/>
      </w:pPr>
      <w:r>
        <w:rPr>
          <w:b w:val="0"/>
          <w:sz w:val="18"/>
        </w:rPr>
        <w:t>Baustein 3: Verantwortung und Zuständigkeiten</w:t>
      </w:r>
    </w:p>
    <w:p>
      <w:pPr>
        <w:spacing w:after="20"/>
        <w:ind w:left="0"/>
      </w:pPr>
      <w:r>
        <w:rPr>
          <w:b/>
          <w:sz w:val="19"/>
        </w:rPr>
        <w:t>Teil B: Ablauf je Lieferung</w:t>
      </w:r>
    </w:p>
    <w:p>
      <w:pPr>
        <w:spacing w:after="20"/>
        <w:ind w:left="340"/>
      </w:pPr>
      <w:r>
        <w:rPr>
          <w:b w:val="0"/>
          <w:sz w:val="18"/>
        </w:rPr>
        <w:t>Baustein 4: Informationssammlung</w:t>
      </w:r>
    </w:p>
    <w:p>
      <w:pPr>
        <w:spacing w:after="20"/>
        <w:ind w:left="340"/>
      </w:pPr>
      <w:r>
        <w:rPr>
          <w:b w:val="0"/>
          <w:sz w:val="18"/>
        </w:rPr>
        <w:t>Baustein 5: Risikobewertung und vereinfachte Sorgfaltspflicht</w:t>
      </w:r>
    </w:p>
    <w:p>
      <w:pPr>
        <w:spacing w:after="20"/>
        <w:ind w:left="340"/>
      </w:pPr>
      <w:r>
        <w:rPr>
          <w:b w:val="0"/>
          <w:sz w:val="18"/>
        </w:rPr>
        <w:t>Baustein 6: Risikominderung</w:t>
      </w:r>
    </w:p>
    <w:p>
      <w:pPr>
        <w:spacing w:after="20"/>
        <w:ind w:left="340"/>
      </w:pPr>
      <w:r>
        <w:rPr>
          <w:b w:val="0"/>
          <w:sz w:val="18"/>
        </w:rPr>
        <w:t>Baustein 7: Freigabe und Warenfluss</w:t>
      </w:r>
    </w:p>
    <w:p>
      <w:pPr>
        <w:spacing w:after="20"/>
        <w:ind w:left="340"/>
      </w:pPr>
      <w:r>
        <w:rPr>
          <w:b w:val="0"/>
          <w:sz w:val="18"/>
        </w:rPr>
        <w:t>Baustein 8: Sorgfaltserklärung, Referenznummern, Zoll</w:t>
      </w:r>
    </w:p>
    <w:p>
      <w:pPr>
        <w:spacing w:after="20"/>
        <w:ind w:left="340"/>
      </w:pPr>
      <w:r>
        <w:rPr>
          <w:b w:val="0"/>
          <w:sz w:val="18"/>
        </w:rPr>
        <w:t>Baustein 9: Neue Informationen und begründete Bedenken</w:t>
      </w:r>
    </w:p>
    <w:p>
      <w:pPr>
        <w:spacing w:after="20"/>
        <w:ind w:left="0"/>
      </w:pPr>
      <w:r>
        <w:rPr>
          <w:b/>
          <w:sz w:val="19"/>
        </w:rPr>
        <w:t>Teil C: Kontrolle und Pflege</w:t>
      </w:r>
    </w:p>
    <w:p>
      <w:pPr>
        <w:spacing w:after="20"/>
        <w:ind w:left="340"/>
      </w:pPr>
      <w:r>
        <w:rPr>
          <w:b w:val="0"/>
          <w:sz w:val="18"/>
        </w:rPr>
        <w:t>Baustein 10: Interne Kontrolle und unabhängige Prüfstelle</w:t>
      </w:r>
    </w:p>
    <w:p>
      <w:pPr>
        <w:spacing w:after="20"/>
        <w:ind w:left="340"/>
      </w:pPr>
      <w:r>
        <w:rPr>
          <w:b w:val="0"/>
          <w:sz w:val="18"/>
        </w:rPr>
        <w:t>Baustein 11: Dokumentation und Behördenanfragen</w:t>
      </w:r>
    </w:p>
    <w:p>
      <w:pPr>
        <w:spacing w:after="20"/>
        <w:ind w:left="340"/>
      </w:pPr>
      <w:r>
        <w:rPr>
          <w:b w:val="0"/>
          <w:sz w:val="18"/>
        </w:rPr>
        <w:t>Baustein 12: Überprüfung, Aktualisierung, öffentlicher Bericht</w:t>
      </w:r>
    </w:p>
    <w:p>
      <w:pPr>
        <w:spacing w:after="20"/>
        <w:ind w:left="0"/>
      </w:pPr>
      <w:r>
        <w:rPr>
          <w:b/>
          <w:sz w:val="19"/>
        </w:rPr>
        <w:t>Anhänge</w:t>
      </w:r>
    </w:p>
    <w:p>
      <w:pPr>
        <w:spacing w:after="20"/>
        <w:ind w:left="340"/>
      </w:pPr>
      <w:r>
        <w:rPr>
          <w:b w:val="0"/>
          <w:sz w:val="18"/>
        </w:rPr>
        <w:t>Anhang A: Pflichten als Händler oder nachgelagerter Marktteilnehmer (Art. 5)</w:t>
      </w:r>
    </w:p>
    <w:p>
      <w:pPr>
        <w:spacing w:after="20"/>
        <w:ind w:left="340"/>
      </w:pPr>
      <w:r>
        <w:rPr>
          <w:b w:val="0"/>
          <w:sz w:val="18"/>
        </w:rPr>
        <w:t>Anhang B: Erzeugnisliste</w:t>
      </w:r>
    </w:p>
    <w:p>
      <w:pPr>
        <w:spacing w:after="20"/>
        <w:ind w:left="340"/>
      </w:pPr>
      <w:r>
        <w:rPr>
          <w:b w:val="0"/>
          <w:sz w:val="18"/>
        </w:rPr>
        <w:t>Anhang C: Beschaffungswege und Rollen</w:t>
      </w:r>
    </w:p>
    <w:p>
      <w:pPr>
        <w:spacing w:after="20"/>
        <w:ind w:left="340"/>
      </w:pPr>
      <w:r>
        <w:rPr>
          <w:b w:val="0"/>
          <w:sz w:val="18"/>
        </w:rPr>
        <w:t>Anhang D: Zuständigkeitsmatrix</w:t>
      </w:r>
    </w:p>
    <w:p>
      <w:pPr>
        <w:spacing w:after="20"/>
        <w:ind w:left="340"/>
      </w:pPr>
      <w:r>
        <w:rPr>
          <w:b w:val="0"/>
          <w:sz w:val="18"/>
        </w:rPr>
        <w:t>Anhang E: Maßnahmenkatalog Risikominderung</w:t>
      </w:r>
    </w:p>
    <w:p>
      <w:pPr>
        <w:spacing w:after="20"/>
        <w:ind w:left="340"/>
      </w:pPr>
      <w:r>
        <w:rPr>
          <w:b w:val="0"/>
          <w:sz w:val="18"/>
        </w:rPr>
        <w:t>Anhang F: Prüfprotokoll der jährlichen Überprüfung</w:t>
      </w:r>
    </w:p>
    <w:p>
      <w:pPr>
        <w:spacing w:after="20"/>
        <w:ind w:left="340"/>
      </w:pPr>
      <w:r>
        <w:rPr>
          <w:b w:val="0"/>
          <w:sz w:val="18"/>
        </w:rPr>
        <w:t>Anhang G: Gliederung des öffentlichen Berichts (nur Nicht-KMU)</w:t>
      </w:r>
    </w:p>
    <w:p>
      <w:pPr>
        <w:spacing w:after="20"/>
        <w:ind w:left="340"/>
      </w:pPr>
      <w:r>
        <w:rPr>
          <w:b w:val="0"/>
          <w:sz w:val="18"/>
        </w:rPr>
        <w:t>Anhang H: Schulungsnachweis</w:t>
      </w:r>
    </w:p>
    <w:p>
      <w:pPr>
        <w:spacing w:after="20"/>
        <w:ind w:left="340"/>
      </w:pPr>
      <w:r>
        <w:rPr>
          <w:b w:val="0"/>
          <w:sz w:val="18"/>
        </w:rPr>
        <w:t>Anhang I: Ausfüllstand vor der Freigabe</w:t>
      </w:r>
      <w:r>
        <w:fldChar w:fldCharType="end"/>
      </w:r>
    </w:p>
    <w:p>
      <w:pPr>
        <w:pStyle w:val="Heading1"/>
      </w:pPr>
      <w:r>
        <w:t>Lenkung und Änderungsprotokoll</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737"/>
        <w:gridCol w:w="1134"/>
        <w:gridCol w:w="2948"/>
        <w:gridCol w:w="2268"/>
        <w:gridCol w:w="1134"/>
        <w:gridCol w:w="1417"/>
      </w:tblGrid>
      <w:tr>
        <w:trPr>
          <w:tblHeader w:val="true"/>
        </w:trPr>
        <w:tc>
          <w:tcPr>
            <w:tcW w:type="dxa" w:w="737"/>
            <w:shd w:val="clear" w:color="auto" w:fill="D9E2EC"/>
          </w:tcPr>
          <w:p>
            <w:pPr>
              <w:spacing w:after="40" w:line="252" w:lineRule="auto"/>
            </w:pPr>
            <w:r>
              <w:rPr>
                <w:b/>
                <w:i w:val="0"/>
                <w:sz w:val="17"/>
              </w:rPr>
              <w:t>Version</w:t>
            </w:r>
          </w:p>
        </w:tc>
        <w:tc>
          <w:tcPr>
            <w:tcW w:type="dxa" w:w="1134"/>
            <w:shd w:val="clear" w:color="auto" w:fill="D9E2EC"/>
          </w:tcPr>
          <w:p>
            <w:pPr>
              <w:spacing w:after="40" w:line="252" w:lineRule="auto"/>
            </w:pPr>
            <w:r>
              <w:rPr>
                <w:b/>
                <w:i w:val="0"/>
                <w:sz w:val="17"/>
              </w:rPr>
              <w:t>Datum</w:t>
            </w:r>
          </w:p>
        </w:tc>
        <w:tc>
          <w:tcPr>
            <w:tcW w:type="dxa" w:w="2948"/>
            <w:shd w:val="clear" w:color="auto" w:fill="D9E2EC"/>
          </w:tcPr>
          <w:p>
            <w:pPr>
              <w:spacing w:after="40" w:line="252" w:lineRule="auto"/>
            </w:pPr>
            <w:r>
              <w:rPr>
                <w:b/>
                <w:i w:val="0"/>
                <w:sz w:val="17"/>
              </w:rPr>
              <w:t>Änderung</w:t>
            </w:r>
          </w:p>
        </w:tc>
        <w:tc>
          <w:tcPr>
            <w:tcW w:type="dxa" w:w="2268"/>
            <w:shd w:val="clear" w:color="auto" w:fill="D9E2EC"/>
          </w:tcPr>
          <w:p>
            <w:pPr>
              <w:spacing w:after="40" w:line="252" w:lineRule="auto"/>
            </w:pPr>
            <w:r>
              <w:rPr>
                <w:b/>
                <w:i w:val="0"/>
                <w:sz w:val="17"/>
              </w:rPr>
              <w:t>Anlass</w:t>
            </w:r>
          </w:p>
        </w:tc>
        <w:tc>
          <w:tcPr>
            <w:tcW w:type="dxa" w:w="1134"/>
            <w:shd w:val="clear" w:color="auto" w:fill="D9E2EC"/>
          </w:tcPr>
          <w:p>
            <w:pPr>
              <w:spacing w:after="40" w:line="252" w:lineRule="auto"/>
            </w:pPr>
            <w:r>
              <w:rPr>
                <w:b/>
                <w:i w:val="0"/>
                <w:sz w:val="17"/>
              </w:rPr>
              <w:t>Bausteine</w:t>
            </w:r>
          </w:p>
        </w:tc>
        <w:tc>
          <w:tcPr>
            <w:tcW w:type="dxa" w:w="1417"/>
            <w:shd w:val="clear" w:color="auto" w:fill="D9E2EC"/>
          </w:tcPr>
          <w:p>
            <w:pPr>
              <w:spacing w:after="40" w:line="252" w:lineRule="auto"/>
            </w:pPr>
            <w:r>
              <w:rPr>
                <w:b/>
                <w:i w:val="0"/>
                <w:sz w:val="17"/>
              </w:rPr>
              <w:t>Freigegeben von</w:t>
            </w:r>
          </w:p>
        </w:tc>
      </w:tr>
      <w:tr>
        <w:tc>
          <w:tcPr>
            <w:tcW w:type="dxa" w:w="737"/>
          </w:tcPr>
          <w:p>
            <w:pPr>
              <w:spacing w:after="40" w:line="252" w:lineRule="auto"/>
            </w:pPr>
            <w:r>
              <w:rPr>
                <w:b w:val="0"/>
                <w:i w:val="0"/>
                <w:sz w:val="17"/>
              </w:rPr>
              <w:t>1.0</w:t>
            </w:r>
          </w:p>
        </w:tc>
        <w:tc>
          <w:tcPr>
            <w:tcW w:type="dxa" w:w="1134"/>
          </w:tcPr>
          <w:p>
            <w:pPr>
              <w:spacing w:after="40" w:line="252" w:lineRule="auto"/>
            </w:pPr>
            <w:r>
              <w:rPr>
                <w:b w:val="0"/>
                <w:i w:val="0"/>
                <w:sz w:val="17"/>
              </w:rPr>
              <w:t>14.12.2026</w:t>
            </w:r>
          </w:p>
        </w:tc>
        <w:tc>
          <w:tcPr>
            <w:tcW w:type="dxa" w:w="2948"/>
          </w:tcPr>
          <w:p>
            <w:pPr>
              <w:spacing w:after="40" w:line="252" w:lineRule="auto"/>
            </w:pPr>
            <w:r>
              <w:rPr>
                <w:b w:val="0"/>
                <w:i w:val="0"/>
                <w:sz w:val="17"/>
              </w:rPr>
              <w:t>Erstfassung</w:t>
            </w:r>
          </w:p>
        </w:tc>
        <w:tc>
          <w:tcPr>
            <w:tcW w:type="dxa" w:w="2268"/>
          </w:tcPr>
          <w:p>
            <w:pPr>
              <w:spacing w:after="40" w:line="252" w:lineRule="auto"/>
            </w:pPr>
            <w:r>
              <w:rPr>
                <w:b w:val="0"/>
                <w:i w:val="0"/>
                <w:sz w:val="17"/>
              </w:rPr>
              <w:t>Geltungsbeginn 30.12.2026</w:t>
            </w:r>
          </w:p>
        </w:tc>
        <w:tc>
          <w:tcPr>
            <w:tcW w:type="dxa" w:w="1134"/>
          </w:tcPr>
          <w:p>
            <w:pPr>
              <w:spacing w:after="40" w:line="252" w:lineRule="auto"/>
            </w:pPr>
            <w:r>
              <w:rPr>
                <w:b w:val="0"/>
                <w:i w:val="0"/>
                <w:sz w:val="17"/>
              </w:rPr>
              <w:t>alle</w:t>
            </w:r>
          </w:p>
        </w:tc>
        <w:tc>
          <w:tcPr>
            <w:tcW w:type="dxa" w:w="1417"/>
          </w:tcPr>
          <w:p>
            <w:pPr>
              <w:spacing w:after="40" w:line="252" w:lineRule="auto"/>
            </w:pPr>
            <w:r>
              <w:rPr>
                <w:b w:val="0"/>
                <w:i w:val="0"/>
                <w:sz w:val="17"/>
              </w:rPr>
              <w:t>Geschäftsführung</w:t>
            </w:r>
          </w:p>
        </w:tc>
      </w:tr>
      <w:tr>
        <w:tc>
          <w:tcPr>
            <w:tcW w:type="dxa" w:w="737"/>
          </w:tcPr>
          <w:p>
            <w:pPr>
              <w:spacing w:after="40" w:line="252" w:lineRule="auto"/>
            </w:pPr>
            <w:r>
              <w:rPr>
                <w:b w:val="0"/>
                <w:i w:val="0"/>
                <w:sz w:val="17"/>
              </w:rPr>
              <w:t>1.1</w:t>
            </w:r>
          </w:p>
        </w:tc>
        <w:tc>
          <w:tcPr>
            <w:tcW w:type="dxa" w:w="1134"/>
          </w:tcPr>
          <w:p>
            <w:pPr>
              <w:spacing w:after="40" w:line="252" w:lineRule="auto"/>
            </w:pPr>
            <w:r>
              <w:rPr>
                <w:b w:val="0"/>
                <w:i w:val="0"/>
                <w:sz w:val="17"/>
              </w:rPr>
              <w:t>20.01.2027</w:t>
            </w:r>
          </w:p>
        </w:tc>
        <w:tc>
          <w:tcPr>
            <w:tcW w:type="dxa" w:w="2948"/>
          </w:tcPr>
          <w:p>
            <w:pPr>
              <w:spacing w:after="40" w:line="252" w:lineRule="auto"/>
            </w:pPr>
            <w:r>
              <w:rPr>
                <w:b w:val="0"/>
                <w:i w:val="0"/>
                <w:sz w:val="17"/>
              </w:rPr>
              <w:t>Art. 13 für VN-2 aufgehoben, volle Bewertung; Minderung durch getrennte Linie und monatliche Mengenbilanz; Meldung an die BLE nach Art. 13 Abs. 2. Ware von dieser Linie war noch nicht eingeführt (sonst zusätzlich Art. 4 Abs. 5).</w:t>
            </w:r>
          </w:p>
        </w:tc>
        <w:tc>
          <w:tcPr>
            <w:tcW w:type="dxa" w:w="2268"/>
          </w:tcPr>
          <w:p>
            <w:pPr>
              <w:spacing w:after="40" w:line="252" w:lineRule="auto"/>
            </w:pPr>
            <w:r>
              <w:rPr>
                <w:b w:val="0"/>
                <w:i w:val="0"/>
                <w:sz w:val="17"/>
              </w:rPr>
              <w:t>Werksbesuch bei VN-2 am 12.01.2027: auf derselben Linie wird Holz unbekannter Herkunft verarbeitet</w:t>
            </w:r>
          </w:p>
        </w:tc>
        <w:tc>
          <w:tcPr>
            <w:tcW w:type="dxa" w:w="1134"/>
          </w:tcPr>
          <w:p>
            <w:pPr>
              <w:spacing w:after="40" w:line="252" w:lineRule="auto"/>
            </w:pPr>
            <w:r>
              <w:rPr>
                <w:b w:val="0"/>
                <w:i w:val="0"/>
                <w:sz w:val="17"/>
              </w:rPr>
              <w:t>2, 5, 6</w:t>
            </w:r>
          </w:p>
        </w:tc>
        <w:tc>
          <w:tcPr>
            <w:tcW w:type="dxa" w:w="1417"/>
          </w:tcPr>
          <w:p>
            <w:pPr>
              <w:spacing w:after="40" w:line="252" w:lineRule="auto"/>
            </w:pPr>
            <w:r>
              <w:rPr>
                <w:b w:val="0"/>
                <w:i w:val="0"/>
                <w:sz w:val="17"/>
              </w:rPr>
              <w:t>Geschäftsführung</w:t>
            </w:r>
          </w:p>
        </w:tc>
      </w:tr>
    </w:tbl>
    <w:p>
      <w:pPr>
        <w:spacing w:after="40"/>
      </w:pPr>
    </w:p>
    <w:p>
      <w:r>
        <w:rPr>
          <w:b/>
        </w:rPr>
        <w:t xml:space="preserve">Verteiler: </w:t>
      </w:r>
      <w:r>
        <w:rPr>
          <w:b w:val="0"/>
          <w:i w:val="0"/>
        </w:rPr>
        <w:t>Geschäftsführung, Compliance-Beauftragte, Einkauf, Qualität und Nachhaltigkeit, Zoll und Logistik, Lager, Vertrieb, IT, externe Prüfgesellschaft (Auszug Baustein 10)</w:t>
      </w:r>
    </w:p>
    <w:p>
      <w:pPr>
        <w:pStyle w:val="Heading1"/>
      </w:pPr>
      <w:r>
        <w:t>So ist die Regelung aufgebaut</w:t>
      </w:r>
    </w:p>
    <w:p>
      <w:r>
        <w:t>Die BLE beginnt eine Kontrolle nach eigener Darstellung bei der Referenznummer einer Erklärung und prüft von dort die Regelung mit Bezug auf diese Lieferung (Web-Seminar vom 15.10.2026). Die Bausteine sind deshalb so geordnet, dass ein Prüfer von der Lieferung (Bausteine 7 und 8) zu Bewertung und Information (Bausteine 4 bis 6) und zum Rahmen (Bausteine 1 bis 3 und 10 bis 12) findet. Jeder Baustein nennt seine Rechtsgrundlage, die Pflichtfelder und die Unterlage in der Akte, die seine Umsetzung für eine bestimmte Lieferung belegt.</w:t>
      </w:r>
    </w:p>
    <w:p>
      <w:pPr>
        <w:pStyle w:val="Heading1"/>
      </w:pPr>
      <w:r>
        <w:t>Teil A: Rahmen</w:t>
      </w:r>
    </w:p>
    <w:p>
      <w:pPr>
        <w:pStyle w:val="Heading2"/>
      </w:pPr>
      <w:r>
        <w:t>Baustein 1: Geltungsbereich und Unternehmensgröße</w:t>
      </w:r>
    </w:p>
    <w:p>
      <w:r>
        <w:rPr>
          <w:b/>
          <w:sz w:val="18"/>
        </w:rPr>
        <w:t xml:space="preserve">Rechtsgrundlage: </w:t>
      </w:r>
      <w:r>
        <w:rPr>
          <w:b w:val="0"/>
          <w:i w:val="0"/>
          <w:sz w:val="18"/>
        </w:rPr>
        <w:t>Art. 2 Nr. 15a und 30, Art. 38 Abs. 2 und 3, Anhang I in der Fassung der Delegierten Verordnung (EU) 2026/2102</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Rechtsträger</w:t>
            </w:r>
          </w:p>
        </w:tc>
        <w:tc>
          <w:tcPr>
            <w:tcW w:type="dxa" w:w="7030"/>
          </w:tcPr>
          <w:p>
            <w:pPr>
              <w:spacing w:after="40" w:line="252" w:lineRule="auto"/>
            </w:pPr>
            <w:r>
              <w:rPr>
                <w:b w:val="0"/>
                <w:i w:val="0"/>
                <w:sz w:val="18"/>
              </w:rPr>
              <w:t>Muster Holz &amp; Möbel GmbH, Musterstadt (fiktiv); eine Gesellschaft, keine Konzernzugehörigkeit.</w:t>
            </w:r>
          </w:p>
        </w:tc>
      </w:tr>
      <w:tr>
        <w:tc>
          <w:tcPr>
            <w:tcW w:type="dxa" w:w="2608"/>
          </w:tcPr>
          <w:p>
            <w:pPr>
              <w:spacing w:after="40" w:line="252" w:lineRule="auto"/>
            </w:pPr>
            <w:r>
              <w:rPr>
                <w:b/>
                <w:i w:val="0"/>
                <w:sz w:val="18"/>
              </w:rPr>
              <w:t>Standorte und Läger</w:t>
            </w:r>
          </w:p>
        </w:tc>
        <w:tc>
          <w:tcPr>
            <w:tcW w:type="dxa" w:w="7030"/>
          </w:tcPr>
          <w:p>
            <w:pPr>
              <w:spacing w:after="40" w:line="252" w:lineRule="auto"/>
            </w:pPr>
            <w:r>
              <w:rPr>
                <w:b w:val="0"/>
                <w:i w:val="0"/>
                <w:sz w:val="18"/>
              </w:rPr>
              <w:t>Verwaltung und Zentrallager in Musterstadt; Außenlager für Containerware in einem deutschen Seehafen.</w:t>
            </w:r>
          </w:p>
        </w:tc>
      </w:tr>
      <w:tr>
        <w:tc>
          <w:tcPr>
            <w:tcW w:type="dxa" w:w="2608"/>
          </w:tcPr>
          <w:p>
            <w:pPr>
              <w:spacing w:after="40" w:line="252" w:lineRule="auto"/>
            </w:pPr>
            <w:r>
              <w:rPr>
                <w:b/>
                <w:i w:val="0"/>
                <w:sz w:val="18"/>
              </w:rPr>
              <w:t>Tätigkeiten</w:t>
            </w:r>
          </w:p>
        </w:tc>
        <w:tc>
          <w:tcPr>
            <w:tcW w:type="dxa" w:w="7030"/>
          </w:tcPr>
          <w:p>
            <w:pPr>
              <w:spacing w:after="40" w:line="252" w:lineRule="auto"/>
            </w:pPr>
            <w:r>
              <w:rPr>
                <w:b w:val="0"/>
                <w:i w:val="0"/>
                <w:sz w:val="18"/>
              </w:rPr>
              <w:t>Einfuhr aus Indonesien und Vietnam (Marktteilnehmer); Zukauf in der EU (Händler); keine Herstellung; keine Ausfuhr. Lieferungen in die Schweiz werden vor der ersten Bestellung gesondert geprüft (Prüfauftrag an Qualität und Nachhaltigkeit).</w:t>
            </w:r>
          </w:p>
        </w:tc>
      </w:tr>
      <w:tr>
        <w:tc>
          <w:tcPr>
            <w:tcW w:type="dxa" w:w="2608"/>
          </w:tcPr>
          <w:p>
            <w:pPr>
              <w:spacing w:after="40" w:line="252" w:lineRule="auto"/>
            </w:pPr>
            <w:r>
              <w:rPr>
                <w:b/>
                <w:i w:val="0"/>
                <w:sz w:val="18"/>
              </w:rPr>
              <w:t>Erzeugnisse</w:t>
            </w:r>
          </w:p>
        </w:tc>
        <w:tc>
          <w:tcPr>
            <w:tcW w:type="dxa" w:w="7030"/>
          </w:tcPr>
          <w:p>
            <w:pPr>
              <w:spacing w:after="40" w:line="252" w:lineRule="auto"/>
            </w:pPr>
            <w:r>
              <w:rPr>
                <w:b w:val="0"/>
                <w:i w:val="0"/>
                <w:sz w:val="18"/>
              </w:rPr>
              <w:t>14 Artikelgruppen in den Positionen ex 9403 60, ex 9401 61 00 und ex 9401 69 00, Liste in Anhang B (Stand 01.12.2026).</w:t>
            </w:r>
          </w:p>
        </w:tc>
      </w:tr>
      <w:tr>
        <w:tc>
          <w:tcPr>
            <w:tcW w:type="dxa" w:w="2608"/>
          </w:tcPr>
          <w:p>
            <w:pPr>
              <w:spacing w:after="40" w:line="252" w:lineRule="auto"/>
            </w:pPr>
            <w:r>
              <w:rPr>
                <w:b/>
                <w:i w:val="0"/>
                <w:sz w:val="18"/>
              </w:rPr>
              <w:t>Ausschlüsse</w:t>
            </w:r>
          </w:p>
        </w:tc>
        <w:tc>
          <w:tcPr>
            <w:tcW w:type="dxa" w:w="7030"/>
          </w:tcPr>
          <w:p>
            <w:pPr>
              <w:spacing w:after="40" w:line="252" w:lineRule="auto"/>
            </w:pPr>
            <w:r>
              <w:rPr>
                <w:b w:val="0"/>
                <w:i w:val="0"/>
                <w:sz w:val="18"/>
              </w:rPr>
              <w:t>Rattanmöbel (nicht erfasst, Anhang I Fußnote 4; Leitlinien Kap. 7 b, Frage 7); Metallmöbel ohne Holzbestandteile.</w:t>
            </w:r>
          </w:p>
        </w:tc>
      </w:tr>
      <w:tr>
        <w:tc>
          <w:tcPr>
            <w:tcW w:type="dxa" w:w="2608"/>
          </w:tcPr>
          <w:p>
            <w:pPr>
              <w:spacing w:after="40" w:line="252" w:lineRule="auto"/>
            </w:pPr>
            <w:r>
              <w:rPr>
                <w:b/>
                <w:i w:val="0"/>
                <w:sz w:val="18"/>
              </w:rPr>
              <w:t>Unternehmensgröße</w:t>
            </w:r>
          </w:p>
        </w:tc>
        <w:tc>
          <w:tcPr>
            <w:tcW w:type="dxa" w:w="7030"/>
          </w:tcPr>
          <w:p>
            <w:pPr>
              <w:spacing w:after="40" w:line="252" w:lineRule="auto"/>
            </w:pPr>
            <w:r>
              <w:rPr>
                <w:b w:val="0"/>
                <w:i w:val="0"/>
                <w:sz w:val="18"/>
              </w:rPr>
              <w:t>Geschäftsjahr 2025: 310 Beschäftigte im Jahresdurchschnitt, Umsatzerlöse 78 Mio. Euro, Bilanzsumme 41 Mio. Euro. Alle drei Schwellen eines mittleren Unternehmens überschritten: Nicht-KMU. Geprüft am 03.11.2026 von der Leitung Finanzen.</w:t>
            </w:r>
          </w:p>
        </w:tc>
      </w:tr>
      <w:tr>
        <w:tc>
          <w:tcPr>
            <w:tcW w:type="dxa" w:w="2608"/>
          </w:tcPr>
          <w:p>
            <w:pPr>
              <w:spacing w:after="40" w:line="252" w:lineRule="auto"/>
            </w:pPr>
            <w:r>
              <w:rPr>
                <w:b/>
                <w:i w:val="0"/>
                <w:sz w:val="18"/>
              </w:rPr>
              <w:t>Vorjahr</w:t>
            </w:r>
          </w:p>
        </w:tc>
        <w:tc>
          <w:tcPr>
            <w:tcW w:type="dxa" w:w="7030"/>
          </w:tcPr>
          <w:p>
            <w:pPr>
              <w:spacing w:after="40" w:line="252" w:lineRule="auto"/>
            </w:pPr>
            <w:r>
              <w:rPr>
                <w:b w:val="0"/>
                <w:i w:val="0"/>
                <w:sz w:val="18"/>
              </w:rPr>
              <w:t>Geschäftsjahr 2024: ebenfalls alle drei Schwellen überschritten; keine Änderung der Größenklasse.</w:t>
            </w:r>
          </w:p>
        </w:tc>
      </w:tr>
      <w:tr>
        <w:tc>
          <w:tcPr>
            <w:tcW w:type="dxa" w:w="2608"/>
          </w:tcPr>
          <w:p>
            <w:pPr>
              <w:spacing w:after="40" w:line="252" w:lineRule="auto"/>
            </w:pPr>
            <w:r>
              <w:rPr>
                <w:b/>
                <w:i w:val="0"/>
                <w:sz w:val="18"/>
              </w:rPr>
              <w:t>Geltungsbeginn</w:t>
            </w:r>
          </w:p>
        </w:tc>
        <w:tc>
          <w:tcPr>
            <w:tcW w:type="dxa" w:w="7030"/>
          </w:tcPr>
          <w:p>
            <w:pPr>
              <w:spacing w:after="40" w:line="252" w:lineRule="auto"/>
            </w:pPr>
            <w:r>
              <w:rPr>
                <w:b w:val="0"/>
                <w:i w:val="0"/>
                <w:sz w:val="18"/>
              </w:rPr>
              <w:t>30.12.2026 für alle Erzeugnisse (Nicht-KMU).</w:t>
            </w:r>
          </w:p>
        </w:tc>
      </w:tr>
    </w:tbl>
    <w:p>
      <w:pPr>
        <w:spacing w:after="40"/>
      </w:pPr>
    </w:p>
    <w:p>
      <w:r>
        <w:rPr>
          <w:b/>
          <w:sz w:val="18"/>
        </w:rPr>
        <w:t xml:space="preserve">Nachweis in der Akte: </w:t>
      </w:r>
      <w:r>
        <w:rPr>
          <w:b w:val="0"/>
          <w:i w:val="0"/>
          <w:sz w:val="18"/>
        </w:rPr>
        <w:t>Anhang B; Berechnung der Größe mit den Jahresabschlüssen 2024 und 2025</w:t>
      </w:r>
    </w:p>
    <w:p>
      <w:pPr>
        <w:pStyle w:val="Heading2"/>
      </w:pPr>
      <w:r>
        <w:t>Baustein 2: Rollen je Beschaffungsweg</w:t>
      </w:r>
    </w:p>
    <w:p>
      <w:r>
        <w:rPr>
          <w:b/>
          <w:sz w:val="18"/>
        </w:rPr>
        <w:t xml:space="preserve">Rechtsgrundlage: </w:t>
      </w:r>
      <w:r>
        <w:rPr>
          <w:b w:val="0"/>
          <w:i w:val="0"/>
          <w:sz w:val="18"/>
        </w:rPr>
        <w:t>Art. 2 Nr. 15, 15b und 17, Art. 4, 5, 7 und 13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Beschaffungswege</w:t>
            </w:r>
          </w:p>
        </w:tc>
        <w:tc>
          <w:tcPr>
            <w:tcW w:type="dxa" w:w="7030"/>
          </w:tcPr>
          <w:p>
            <w:pPr>
              <w:spacing w:after="40" w:line="252" w:lineRule="auto"/>
            </w:pPr>
            <w:r>
              <w:rPr>
                <w:b w:val="0"/>
                <w:i w:val="0"/>
                <w:sz w:val="18"/>
              </w:rPr>
              <w:t>Drei Wege nach Anhang C: A Import Teakmöbel aus Indonesien, B Import Möbel aus Vietnam, C Zukauf in der EU.</w:t>
            </w:r>
          </w:p>
        </w:tc>
      </w:tr>
      <w:tr>
        <w:tc>
          <w:tcPr>
            <w:tcW w:type="dxa" w:w="2608"/>
          </w:tcPr>
          <w:p>
            <w:pPr>
              <w:spacing w:after="40" w:line="252" w:lineRule="auto"/>
            </w:pPr>
            <w:r>
              <w:rPr>
                <w:b/>
                <w:i w:val="0"/>
                <w:sz w:val="18"/>
              </w:rPr>
              <w:t>Neue Beschaffungswege</w:t>
            </w:r>
          </w:p>
        </w:tc>
        <w:tc>
          <w:tcPr>
            <w:tcW w:type="dxa" w:w="7030"/>
          </w:tcPr>
          <w:p>
            <w:pPr>
              <w:spacing w:after="40" w:line="252" w:lineRule="auto"/>
            </w:pPr>
            <w:r>
              <w:rPr>
                <w:b w:val="0"/>
                <w:i w:val="0"/>
                <w:sz w:val="18"/>
              </w:rPr>
              <w:t>Rollenprüfung durch Qualität und Nachhaltigkeit vor der ersten Bestellung; Freigabe durch die Compliance-Beauftragte.</w:t>
            </w:r>
          </w:p>
        </w:tc>
      </w:tr>
      <w:tr>
        <w:tc>
          <w:tcPr>
            <w:tcW w:type="dxa" w:w="2608"/>
          </w:tcPr>
          <w:p>
            <w:pPr>
              <w:spacing w:after="40" w:line="252" w:lineRule="auto"/>
            </w:pPr>
            <w:r>
              <w:rPr>
                <w:b/>
                <w:i w:val="0"/>
                <w:sz w:val="18"/>
              </w:rPr>
              <w:t>Überprüfung der Rollen</w:t>
            </w:r>
          </w:p>
        </w:tc>
        <w:tc>
          <w:tcPr>
            <w:tcW w:type="dxa" w:w="7030"/>
          </w:tcPr>
          <w:p>
            <w:pPr>
              <w:spacing w:after="40" w:line="252" w:lineRule="auto"/>
            </w:pPr>
            <w:r>
              <w:rPr>
                <w:b w:val="0"/>
                <w:i w:val="0"/>
                <w:sz w:val="18"/>
              </w:rPr>
              <w:t>Jährlich im November und bei jedem neuen Lieferanten.</w:t>
            </w:r>
          </w:p>
        </w:tc>
      </w:tr>
    </w:tbl>
    <w:p>
      <w:pPr>
        <w:spacing w:after="40"/>
      </w:pPr>
    </w:p>
    <w:p>
      <w:r>
        <w:rPr>
          <w:b/>
          <w:sz w:val="18"/>
        </w:rPr>
        <w:t xml:space="preserve">Nachweis in der Akte: </w:t>
      </w:r>
      <w:r>
        <w:rPr>
          <w:b w:val="0"/>
          <w:i w:val="0"/>
          <w:sz w:val="18"/>
        </w:rPr>
        <w:t>Anhang C mit Datum und Namenszeichen</w:t>
      </w:r>
    </w:p>
    <w:p>
      <w:pPr>
        <w:pStyle w:val="Heading2"/>
      </w:pPr>
      <w:r>
        <w:t>Baustein 3: Verantwortung und Zuständigkeiten</w:t>
      </w:r>
    </w:p>
    <w:p>
      <w:r>
        <w:rPr>
          <w:b/>
          <w:sz w:val="18"/>
        </w:rPr>
        <w:t xml:space="preserve">Rechtsgrundlage: </w:t>
      </w:r>
      <w:r>
        <w:rPr>
          <w:b w:val="0"/>
          <w:i w:val="0"/>
          <w:sz w:val="18"/>
        </w:rPr>
        <w:t>Art. 11 Abs. 2, Art. 6; Art. 10 Abs. 1 der Durchführungsverordnung (EU) 2024/3084 in der Fassung der Durchführungsverordnung (EU)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Geschäftsleitung</w:t>
            </w:r>
          </w:p>
        </w:tc>
        <w:tc>
          <w:tcPr>
            <w:tcW w:type="dxa" w:w="7030"/>
          </w:tcPr>
          <w:p>
            <w:pPr>
              <w:spacing w:after="40" w:line="252" w:lineRule="auto"/>
            </w:pPr>
            <w:r>
              <w:rPr>
                <w:b w:val="0"/>
                <w:i w:val="0"/>
                <w:sz w:val="18"/>
              </w:rPr>
              <w:t>Geschäftsführung: Gesamtverantwortung, Freigabe der Regelung (Version 1.0 am 14.12.2026).</w:t>
            </w:r>
          </w:p>
        </w:tc>
      </w:tr>
      <w:tr>
        <w:tc>
          <w:tcPr>
            <w:tcW w:type="dxa" w:w="2608"/>
          </w:tcPr>
          <w:p>
            <w:pPr>
              <w:spacing w:after="40" w:line="252" w:lineRule="auto"/>
            </w:pPr>
            <w:r>
              <w:rPr>
                <w:b/>
                <w:i w:val="0"/>
                <w:sz w:val="18"/>
              </w:rPr>
              <w:t>Compliance-Beauftragte</w:t>
            </w:r>
          </w:p>
        </w:tc>
        <w:tc>
          <w:tcPr>
            <w:tcW w:type="dxa" w:w="7030"/>
          </w:tcPr>
          <w:p>
            <w:pPr>
              <w:spacing w:after="40" w:line="252" w:lineRule="auto"/>
            </w:pPr>
            <w:r>
              <w:rPr>
                <w:b w:val="0"/>
                <w:i w:val="0"/>
                <w:sz w:val="18"/>
              </w:rPr>
              <w:t>Leitung Qualität und Nachhaltigkeit, Prokuristin, berichtet unmittelbar an die Geschäftsführung, Vetorecht bei jeder Freigabe; Vertretung: Leitung Zoll und Logistik; schriftlich bestellt am 02.11.2026.</w:t>
            </w:r>
          </w:p>
        </w:tc>
      </w:tr>
      <w:tr>
        <w:tc>
          <w:tcPr>
            <w:tcW w:type="dxa" w:w="2608"/>
          </w:tcPr>
          <w:p>
            <w:pPr>
              <w:spacing w:after="40" w:line="252" w:lineRule="auto"/>
            </w:pPr>
            <w:r>
              <w:rPr>
                <w:b/>
                <w:i w:val="0"/>
                <w:sz w:val="18"/>
              </w:rPr>
              <w:t>Prozessverantwortliche</w:t>
            </w:r>
          </w:p>
        </w:tc>
        <w:tc>
          <w:tcPr>
            <w:tcW w:type="dxa" w:w="7030"/>
          </w:tcPr>
          <w:p>
            <w:pPr>
              <w:spacing w:after="40" w:line="252" w:lineRule="auto"/>
            </w:pPr>
            <w:r>
              <w:rPr>
                <w:b w:val="0"/>
                <w:i w:val="0"/>
                <w:sz w:val="18"/>
              </w:rPr>
              <w:t>Bausteine 1, 2, 5, 6, 11 und 12: Qualität und Nachhaltigkeit (EUDR-Team, zwei Personen); Bausteine 3, 9 und 10: Compliance-Beauftragte; Baustein 4: Einkauf; Baustein 7: Lager mit dem EUDR-Team; Baustein 8: Zoll und Logistik.</w:t>
            </w:r>
          </w:p>
        </w:tc>
      </w:tr>
      <w:tr>
        <w:tc>
          <w:tcPr>
            <w:tcW w:type="dxa" w:w="2608"/>
          </w:tcPr>
          <w:p>
            <w:pPr>
              <w:spacing w:after="40" w:line="252" w:lineRule="auto"/>
            </w:pPr>
            <w:r>
              <w:rPr>
                <w:b/>
                <w:i w:val="0"/>
                <w:sz w:val="18"/>
              </w:rPr>
              <w:t>Zuständigkeitsmatrix</w:t>
            </w:r>
          </w:p>
        </w:tc>
        <w:tc>
          <w:tcPr>
            <w:tcW w:type="dxa" w:w="7030"/>
          </w:tcPr>
          <w:p>
            <w:pPr>
              <w:spacing w:after="40" w:line="252" w:lineRule="auto"/>
            </w:pPr>
            <w:r>
              <w:rPr>
                <w:b w:val="0"/>
                <w:i w:val="0"/>
                <w:sz w:val="18"/>
              </w:rPr>
              <w:t>Anhang D.</w:t>
            </w:r>
          </w:p>
        </w:tc>
      </w:tr>
      <w:tr>
        <w:tc>
          <w:tcPr>
            <w:tcW w:type="dxa" w:w="2608"/>
          </w:tcPr>
          <w:p>
            <w:pPr>
              <w:spacing w:after="40" w:line="252" w:lineRule="auto"/>
            </w:pPr>
            <w:r>
              <w:rPr>
                <w:b/>
                <w:i w:val="0"/>
                <w:sz w:val="18"/>
              </w:rPr>
              <w:t>Informationssystem</w:t>
            </w:r>
          </w:p>
        </w:tc>
        <w:tc>
          <w:tcPr>
            <w:tcW w:type="dxa" w:w="7030"/>
          </w:tcPr>
          <w:p>
            <w:pPr>
              <w:spacing w:after="40" w:line="252" w:lineRule="auto"/>
            </w:pPr>
            <w:r>
              <w:rPr>
                <w:b w:val="0"/>
                <w:i w:val="0"/>
                <w:sz w:val="18"/>
              </w:rPr>
              <w:t>ADMIN: Leitung Zoll und Logistik; zweiter ADMIN: Compliance-Beauftragte. Einreichung durch zwei Personen in Zoll und Logistik. Zugänge entzieht ein ADMIN am letzten Arbeitstag (Checkliste Austritt).</w:t>
            </w:r>
          </w:p>
        </w:tc>
      </w:tr>
      <w:tr>
        <w:tc>
          <w:tcPr>
            <w:tcW w:type="dxa" w:w="2608"/>
          </w:tcPr>
          <w:p>
            <w:pPr>
              <w:spacing w:after="40" w:line="252" w:lineRule="auto"/>
            </w:pPr>
            <w:r>
              <w:rPr>
                <w:b/>
                <w:i w:val="0"/>
                <w:sz w:val="18"/>
              </w:rPr>
              <w:t>Bevollmächtigter nach Art. 6</w:t>
            </w:r>
          </w:p>
        </w:tc>
        <w:tc>
          <w:tcPr>
            <w:tcW w:type="dxa" w:w="7030"/>
          </w:tcPr>
          <w:p>
            <w:pPr>
              <w:spacing w:after="40" w:line="252" w:lineRule="auto"/>
            </w:pPr>
            <w:r>
              <w:rPr>
                <w:b w:val="0"/>
                <w:i w:val="0"/>
                <w:sz w:val="18"/>
              </w:rPr>
              <w:t>Keiner. Der Zolldienstleister handelt als Zollvertreter, ist kein Bevollmächtigter und erhält nur die Referenznummer.</w:t>
            </w:r>
          </w:p>
        </w:tc>
      </w:tr>
      <w:tr>
        <w:tc>
          <w:tcPr>
            <w:tcW w:type="dxa" w:w="2608"/>
          </w:tcPr>
          <w:p>
            <w:pPr>
              <w:spacing w:after="40" w:line="252" w:lineRule="auto"/>
            </w:pPr>
            <w:r>
              <w:rPr>
                <w:b/>
                <w:i w:val="0"/>
                <w:sz w:val="18"/>
              </w:rPr>
              <w:t>Dienstleister und Werkzeuge</w:t>
            </w:r>
          </w:p>
        </w:tc>
        <w:tc>
          <w:tcPr>
            <w:tcW w:type="dxa" w:w="7030"/>
          </w:tcPr>
          <w:p>
            <w:pPr>
              <w:spacing w:after="40" w:line="252" w:lineRule="auto"/>
            </w:pPr>
            <w:r>
              <w:rPr>
                <w:b w:val="0"/>
                <w:i w:val="0"/>
                <w:sz w:val="18"/>
              </w:rPr>
              <w:t>EUDR-Software für Lieferantenabfrage, Satellitenauswertung und Übermittlung; Methodenbeschreibung liegt vor; die Ergebnisse würdigt das EUDR-Team. Beauftragte Prüfgesellschaft für Werksbesuche und die unabhängige Prüfung.</w:t>
            </w:r>
          </w:p>
        </w:tc>
      </w:tr>
      <w:tr>
        <w:tc>
          <w:tcPr>
            <w:tcW w:type="dxa" w:w="2608"/>
          </w:tcPr>
          <w:p>
            <w:pPr>
              <w:spacing w:after="40" w:line="252" w:lineRule="auto"/>
            </w:pPr>
            <w:r>
              <w:rPr>
                <w:b/>
                <w:i w:val="0"/>
                <w:sz w:val="18"/>
              </w:rPr>
              <w:t>Schulung</w:t>
            </w:r>
          </w:p>
        </w:tc>
        <w:tc>
          <w:tcPr>
            <w:tcW w:type="dxa" w:w="7030"/>
          </w:tcPr>
          <w:p>
            <w:pPr>
              <w:spacing w:after="40" w:line="252" w:lineRule="auto"/>
            </w:pPr>
            <w:r>
              <w:rPr>
                <w:b w:val="0"/>
                <w:i w:val="0"/>
                <w:sz w:val="18"/>
              </w:rPr>
              <w:t>Einkauf, Lager, Vertrieb, Zoll und Logistik im November 2026, danach jährlich; Nachweis in Anhang H.</w:t>
            </w:r>
          </w:p>
        </w:tc>
      </w:tr>
    </w:tbl>
    <w:p>
      <w:pPr>
        <w:spacing w:after="40"/>
      </w:pPr>
    </w:p>
    <w:p>
      <w:r>
        <w:rPr>
          <w:b/>
          <w:sz w:val="18"/>
        </w:rPr>
        <w:t xml:space="preserve">Nachweis in der Akte: </w:t>
      </w:r>
      <w:r>
        <w:rPr>
          <w:b w:val="0"/>
          <w:i w:val="0"/>
          <w:sz w:val="18"/>
        </w:rPr>
        <w:t>Bestellungsschreiben vom 02.11.2026; Anhang D; Anhang H; Verträge mit Softwareanbieter und Prüfgesellschaft</w:t>
      </w:r>
    </w:p>
    <w:p>
      <w:pPr>
        <w:pStyle w:val="Heading1"/>
      </w:pPr>
      <w:r>
        <w:t>Teil B: Ablauf je Lieferung</w:t>
      </w:r>
    </w:p>
    <w:p>
      <w:pPr>
        <w:pStyle w:val="Heading2"/>
      </w:pPr>
      <w:r>
        <w:t>Baustein 4: Informationssammlung</w:t>
      </w:r>
    </w:p>
    <w:p>
      <w:r>
        <w:rPr>
          <w:b/>
          <w:sz w:val="18"/>
        </w:rPr>
        <w:t xml:space="preserve">Rechtsgrundlage: </w:t>
      </w:r>
      <w:r>
        <w:rPr>
          <w:b w:val="0"/>
          <w:i w:val="0"/>
          <w:sz w:val="18"/>
        </w:rPr>
        <w:t>Art. 9 Abs. 1 Buchst. a bis h, Art. 2 Nr. 28 und 40, Art. 10 Abs. 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Prüfliste nach Art. 9 Abs. 1</w:t>
            </w:r>
          </w:p>
        </w:tc>
        <w:tc>
          <w:tcPr>
            <w:tcW w:type="dxa" w:w="7030"/>
          </w:tcPr>
          <w:p>
            <w:pPr>
              <w:spacing w:after="40" w:line="252" w:lineRule="auto"/>
            </w:pPr>
            <w:r>
              <w:rPr>
                <w:b w:val="0"/>
                <w:i w:val="0"/>
                <w:sz w:val="18"/>
              </w:rPr>
              <w:t>Prüfliste je Lieferung im Bewertungsblatt; Quelle je Buchstabe a bis h ist der Lieferant, Buchstabe e und f ergänzt der Einkauf.</w:t>
            </w:r>
          </w:p>
        </w:tc>
      </w:tr>
      <w:tr>
        <w:tc>
          <w:tcPr>
            <w:tcW w:type="dxa" w:w="2608"/>
          </w:tcPr>
          <w:p>
            <w:pPr>
              <w:spacing w:after="40" w:line="252" w:lineRule="auto"/>
            </w:pPr>
            <w:r>
              <w:rPr>
                <w:b/>
                <w:i w:val="0"/>
                <w:sz w:val="18"/>
              </w:rPr>
              <w:t>Lieferantenabfrage</w:t>
            </w:r>
          </w:p>
        </w:tc>
        <w:tc>
          <w:tcPr>
            <w:tcW w:type="dxa" w:w="7030"/>
          </w:tcPr>
          <w:p>
            <w:pPr>
              <w:spacing w:after="40" w:line="252" w:lineRule="auto"/>
            </w:pPr>
            <w:r>
              <w:rPr>
                <w:b w:val="0"/>
                <w:i w:val="0"/>
                <w:sz w:val="18"/>
              </w:rPr>
              <w:t>Fragebogen mit Frist vier Wochen, Erinnerung nach zwei Wochen, Eskalation an die Leitung Einkauf nach Fristablauf; Eingabe der Flächen über das Lieferantenportal der EUDR-Software.</w:t>
            </w:r>
          </w:p>
        </w:tc>
      </w:tr>
      <w:tr>
        <w:tc>
          <w:tcPr>
            <w:tcW w:type="dxa" w:w="2608"/>
          </w:tcPr>
          <w:p>
            <w:pPr>
              <w:spacing w:after="40" w:line="252" w:lineRule="auto"/>
            </w:pPr>
            <w:r>
              <w:rPr>
                <w:b/>
                <w:i w:val="0"/>
                <w:sz w:val="18"/>
              </w:rPr>
              <w:t>Geodaten</w:t>
            </w:r>
          </w:p>
        </w:tc>
        <w:tc>
          <w:tcPr>
            <w:tcW w:type="dxa" w:w="7030"/>
          </w:tcPr>
          <w:p>
            <w:pPr>
              <w:spacing w:after="40" w:line="252" w:lineRule="auto"/>
            </w:pPr>
            <w:r>
              <w:rPr>
                <w:b w:val="0"/>
                <w:i w:val="0"/>
                <w:sz w:val="18"/>
              </w:rPr>
              <w:t>GeoJSON je Einschlagsfläche in WGS84 mit mindestens sechs Dezimalstellen; Teakplantagen über vier Hektar als Polygon; jede Datei prüft das EUDR-Team vor der Verwendung.</w:t>
            </w:r>
          </w:p>
        </w:tc>
      </w:tr>
      <w:tr>
        <w:tc>
          <w:tcPr>
            <w:tcW w:type="dxa" w:w="2608"/>
          </w:tcPr>
          <w:p>
            <w:pPr>
              <w:spacing w:after="40" w:line="252" w:lineRule="auto"/>
            </w:pPr>
            <w:r>
              <w:rPr>
                <w:b/>
                <w:i w:val="0"/>
                <w:sz w:val="18"/>
              </w:rPr>
              <w:t>Holzarten</w:t>
            </w:r>
          </w:p>
        </w:tc>
        <w:tc>
          <w:tcPr>
            <w:tcW w:type="dxa" w:w="7030"/>
          </w:tcPr>
          <w:p>
            <w:pPr>
              <w:spacing w:after="40" w:line="252" w:lineRule="auto"/>
            </w:pPr>
            <w:r>
              <w:rPr>
                <w:b w:val="0"/>
                <w:i w:val="0"/>
                <w:sz w:val="18"/>
              </w:rPr>
              <w:t>Tectona grandis (Weg A); Hevea brasiliensis und Acacia mangium (Weg B); je Bestandteil.</w:t>
            </w:r>
          </w:p>
        </w:tc>
      </w:tr>
      <w:tr>
        <w:tc>
          <w:tcPr>
            <w:tcW w:type="dxa" w:w="2608"/>
          </w:tcPr>
          <w:p>
            <w:pPr>
              <w:spacing w:after="40" w:line="252" w:lineRule="auto"/>
            </w:pPr>
            <w:r>
              <w:rPr>
                <w:b/>
                <w:i w:val="0"/>
                <w:sz w:val="18"/>
              </w:rPr>
              <w:t>Legalität</w:t>
            </w:r>
          </w:p>
        </w:tc>
        <w:tc>
          <w:tcPr>
            <w:tcW w:type="dxa" w:w="7030"/>
          </w:tcPr>
          <w:p>
            <w:pPr>
              <w:spacing w:after="40" w:line="252" w:lineRule="auto"/>
            </w:pPr>
            <w:r>
              <w:rPr>
                <w:b w:val="0"/>
                <w:i w:val="0"/>
                <w:sz w:val="18"/>
              </w:rPr>
              <w:t>Indonesien: FLEGT-Genehmigung je Sendung als Nachweis nach Art. 10 Abs. 3; das EUDR-Team prüft Gültigkeit und Zuordnung zur Sendung und vermerkt das. Die Positionen 9401 69 und 9403 60 liegen im Produktumfang des Abkommens (Anhang IA, ABl. L 150 vom 20.05.2014). Vietnam: Nachweise nach Risiko (Herkunft des Holzes, Einschlags- oder Pflanzungsrechte); Vermerk, welche Rechtsbereiche geprüft wurden.</w:t>
            </w:r>
          </w:p>
        </w:tc>
      </w:tr>
      <w:tr>
        <w:tc>
          <w:tcPr>
            <w:tcW w:type="dxa" w:w="2608"/>
          </w:tcPr>
          <w:p>
            <w:pPr>
              <w:spacing w:after="40" w:line="252" w:lineRule="auto"/>
            </w:pPr>
            <w:r>
              <w:rPr>
                <w:b/>
                <w:i w:val="0"/>
                <w:sz w:val="18"/>
              </w:rPr>
              <w:t>Vollständigkeit</w:t>
            </w:r>
          </w:p>
        </w:tc>
        <w:tc>
          <w:tcPr>
            <w:tcW w:type="dxa" w:w="7030"/>
          </w:tcPr>
          <w:p>
            <w:pPr>
              <w:spacing w:after="40" w:line="252" w:lineRule="auto"/>
            </w:pPr>
            <w:r>
              <w:rPr>
                <w:b w:val="0"/>
                <w:i w:val="0"/>
                <w:sz w:val="18"/>
              </w:rPr>
              <w:t>Prüfliste vollständig und Geodatei geprüft, bevor bewertet wird; Prüfung durch das EUDR-Team.</w:t>
            </w:r>
          </w:p>
        </w:tc>
      </w:tr>
      <w:tr>
        <w:tc>
          <w:tcPr>
            <w:tcW w:type="dxa" w:w="2608"/>
          </w:tcPr>
          <w:p>
            <w:pPr>
              <w:spacing w:after="40" w:line="252" w:lineRule="auto"/>
            </w:pPr>
            <w:r>
              <w:rPr>
                <w:b/>
                <w:i w:val="0"/>
                <w:sz w:val="18"/>
              </w:rPr>
              <w:t>Umgang mit Lücken</w:t>
            </w:r>
          </w:p>
        </w:tc>
        <w:tc>
          <w:tcPr>
            <w:tcW w:type="dxa" w:w="7030"/>
          </w:tcPr>
          <w:p>
            <w:pPr>
              <w:spacing w:after="40" w:line="252" w:lineRule="auto"/>
            </w:pPr>
            <w:r>
              <w:rPr>
                <w:b w:val="0"/>
                <w:i w:val="0"/>
                <w:sz w:val="18"/>
              </w:rPr>
              <w:t>Keine Bestellung ohne vollständige Angaben; der Einkauf klärt Lücken innerhalb von zwei Wochen, sonst Sperre des Artikels.</w:t>
            </w:r>
          </w:p>
        </w:tc>
      </w:tr>
    </w:tbl>
    <w:p>
      <w:pPr>
        <w:spacing w:after="40"/>
      </w:pPr>
    </w:p>
    <w:p>
      <w:r>
        <w:rPr>
          <w:b/>
          <w:sz w:val="18"/>
        </w:rPr>
        <w:t xml:space="preserve">Nachweis in der Akte: </w:t>
      </w:r>
      <w:r>
        <w:rPr>
          <w:b w:val="0"/>
          <w:i w:val="0"/>
          <w:sz w:val="18"/>
        </w:rPr>
        <w:t>Lieferantenakte je Hersteller, Geodateien mit Prüfprotokoll, FLEGT-Genehmigungen mit Prüfvermerk</w:t>
      </w:r>
    </w:p>
    <w:p>
      <w:pPr>
        <w:pStyle w:val="Heading2"/>
      </w:pPr>
      <w:r>
        <w:t>Baustein 5: Risikobewertung und vereinfachte Sorgfaltspflicht</w:t>
      </w:r>
    </w:p>
    <w:p>
      <w:r>
        <w:rPr>
          <w:b/>
          <w:sz w:val="18"/>
        </w:rPr>
        <w:t xml:space="preserve">Rechtsgrundlage: </w:t>
      </w:r>
      <w:r>
        <w:rPr>
          <w:b w:val="0"/>
          <w:i w:val="0"/>
          <w:sz w:val="18"/>
        </w:rPr>
        <w:t>Art. 10 und 13, Art. 29 mit der Durchführungsverordnung (EU) 2025/1093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Bewertungseinheit</w:t>
            </w:r>
          </w:p>
        </w:tc>
        <w:tc>
          <w:tcPr>
            <w:tcW w:type="dxa" w:w="7030"/>
          </w:tcPr>
          <w:p>
            <w:pPr>
              <w:spacing w:after="40" w:line="252" w:lineRule="auto"/>
            </w:pPr>
            <w:r>
              <w:rPr>
                <w:b w:val="0"/>
                <w:i w:val="0"/>
                <w:sz w:val="18"/>
              </w:rPr>
              <w:t>Weg A je Hersteller und Plantage; Weg B je Hersteller; bei mehreren Plantagen je Plantage.</w:t>
            </w:r>
          </w:p>
        </w:tc>
      </w:tr>
      <w:tr>
        <w:tc>
          <w:tcPr>
            <w:tcW w:type="dxa" w:w="2608"/>
          </w:tcPr>
          <w:p>
            <w:pPr>
              <w:spacing w:after="40" w:line="252" w:lineRule="auto"/>
            </w:pPr>
            <w:r>
              <w:rPr>
                <w:b/>
                <w:i w:val="0"/>
                <w:sz w:val="18"/>
              </w:rPr>
              <w:t>Kriterien</w:t>
            </w:r>
          </w:p>
        </w:tc>
        <w:tc>
          <w:tcPr>
            <w:tcW w:type="dxa" w:w="7030"/>
          </w:tcPr>
          <w:p>
            <w:pPr>
              <w:spacing w:after="40" w:line="252" w:lineRule="auto"/>
            </w:pPr>
            <w:r>
              <w:rPr>
                <w:b w:val="0"/>
                <w:i w:val="0"/>
                <w:sz w:val="18"/>
              </w:rPr>
              <w:t>Art. 10 Abs. 2 Buchst. a bis n auf dem Bewertungsblatt mit Prüffrage, Quelle und Begründung je Kriterium.</w:t>
            </w:r>
          </w:p>
        </w:tc>
      </w:tr>
      <w:tr>
        <w:tc>
          <w:tcPr>
            <w:tcW w:type="dxa" w:w="2608"/>
          </w:tcPr>
          <w:p>
            <w:pPr>
              <w:spacing w:after="40" w:line="252" w:lineRule="auto"/>
            </w:pPr>
            <w:r>
              <w:rPr>
                <w:b/>
                <w:i w:val="0"/>
                <w:sz w:val="18"/>
              </w:rPr>
              <w:t>Einstufung</w:t>
            </w:r>
          </w:p>
        </w:tc>
        <w:tc>
          <w:tcPr>
            <w:tcW w:type="dxa" w:w="7030"/>
          </w:tcPr>
          <w:p>
            <w:pPr>
              <w:spacing w:after="40" w:line="252" w:lineRule="auto"/>
            </w:pPr>
            <w:r>
              <w:rPr>
                <w:b w:val="0"/>
                <w:i w:val="0"/>
                <w:sz w:val="18"/>
              </w:rPr>
              <w:t>vernachlässigbar, nicht vernachlässigbar oder nicht anwendbar, je Kriterium begründet. Weg A: Kriterium j (Vermischung) bei ID-2 zunächst nicht vernachlässigbar, weil ID-2 Restholz anderer Plantagen zukauft; Minderung siehe Baustein 6.</w:t>
            </w:r>
          </w:p>
        </w:tc>
      </w:tr>
      <w:tr>
        <w:tc>
          <w:tcPr>
            <w:tcW w:type="dxa" w:w="2608"/>
          </w:tcPr>
          <w:p>
            <w:pPr>
              <w:spacing w:after="40" w:line="252" w:lineRule="auto"/>
            </w:pPr>
            <w:r>
              <w:rPr>
                <w:b/>
                <w:i w:val="0"/>
                <w:sz w:val="18"/>
              </w:rPr>
              <w:t>Gesamtregel</w:t>
            </w:r>
          </w:p>
        </w:tc>
        <w:tc>
          <w:tcPr>
            <w:tcW w:type="dxa" w:w="7030"/>
          </w:tcPr>
          <w:p>
            <w:pPr>
              <w:spacing w:after="40" w:line="252" w:lineRule="auto"/>
            </w:pPr>
            <w:r>
              <w:rPr>
                <w:b w:val="0"/>
                <w:i w:val="0"/>
                <w:sz w:val="18"/>
              </w:rPr>
              <w:t>Ein nicht vernachlässigbares Kriterium ergibt das Gesamtergebnis nicht vernachlässigbar.</w:t>
            </w:r>
          </w:p>
        </w:tc>
      </w:tr>
      <w:tr>
        <w:tc>
          <w:tcPr>
            <w:tcW w:type="dxa" w:w="2608"/>
          </w:tcPr>
          <w:p>
            <w:pPr>
              <w:spacing w:after="40" w:line="252" w:lineRule="auto"/>
            </w:pPr>
            <w:r>
              <w:rPr>
                <w:b/>
                <w:i w:val="0"/>
                <w:sz w:val="18"/>
              </w:rPr>
              <w:t>Länderrisiko</w:t>
            </w:r>
          </w:p>
        </w:tc>
        <w:tc>
          <w:tcPr>
            <w:tcW w:type="dxa" w:w="7030"/>
          </w:tcPr>
          <w:p>
            <w:pPr>
              <w:spacing w:after="40" w:line="252" w:lineRule="auto"/>
            </w:pPr>
            <w:r>
              <w:rPr>
                <w:b w:val="0"/>
                <w:i w:val="0"/>
                <w:sz w:val="18"/>
              </w:rPr>
              <w:t>Durchführungsverordnung (EU) 2025/1093; Stand der Liste geprüft am 01.12.2026: Vietnam geringes Risiko, Indonesien Standardrisiko.</w:t>
            </w:r>
          </w:p>
        </w:tc>
      </w:tr>
      <w:tr>
        <w:tc>
          <w:tcPr>
            <w:tcW w:type="dxa" w:w="2608"/>
          </w:tcPr>
          <w:p>
            <w:pPr>
              <w:spacing w:after="40" w:line="252" w:lineRule="auto"/>
            </w:pPr>
            <w:r>
              <w:rPr>
                <w:b/>
                <w:i w:val="0"/>
                <w:sz w:val="18"/>
              </w:rPr>
              <w:t>Werkzeuge</w:t>
            </w:r>
          </w:p>
        </w:tc>
        <w:tc>
          <w:tcPr>
            <w:tcW w:type="dxa" w:w="7030"/>
          </w:tcPr>
          <w:p>
            <w:pPr>
              <w:spacing w:after="40" w:line="252" w:lineRule="auto"/>
            </w:pPr>
            <w:r>
              <w:rPr>
                <w:b w:val="0"/>
                <w:i w:val="0"/>
                <w:sz w:val="18"/>
              </w:rPr>
              <w:t>Satellitenauswertung der EUDR-Software gegen den 31.12.2020; Methodenbeschreibung in der Akte; Würdigung durch das EUDR-Team.</w:t>
            </w:r>
          </w:p>
        </w:tc>
      </w:tr>
      <w:tr>
        <w:tc>
          <w:tcPr>
            <w:tcW w:type="dxa" w:w="2608"/>
          </w:tcPr>
          <w:p>
            <w:pPr>
              <w:spacing w:after="40" w:line="252" w:lineRule="auto"/>
            </w:pPr>
            <w:r>
              <w:rPr>
                <w:b/>
                <w:i w:val="0"/>
                <w:sz w:val="18"/>
              </w:rPr>
              <w:t>Prüfweg nach Art. 13</w:t>
            </w:r>
          </w:p>
        </w:tc>
        <w:tc>
          <w:tcPr>
            <w:tcW w:type="dxa" w:w="7030"/>
          </w:tcPr>
          <w:p>
            <w:pPr>
              <w:spacing w:after="40" w:line="252" w:lineRule="auto"/>
            </w:pPr>
            <w:r>
              <w:rPr>
                <w:b w:val="0"/>
                <w:i w:val="0"/>
                <w:sz w:val="18"/>
              </w:rPr>
              <w:t>Weg B: Prüfung von Komplexität, Umgehungs- und Vermischungsrisiko je Hersteller dokumentiert; VN-1 und VN-2 vereinfachte Sorgfaltspflicht; VN-3 wegen Holzzukauf aus Ländern mit Standardrisiko volle Bewertung.</w:t>
            </w:r>
          </w:p>
        </w:tc>
      </w:tr>
      <w:tr>
        <w:tc>
          <w:tcPr>
            <w:tcW w:type="dxa" w:w="2608"/>
          </w:tcPr>
          <w:p>
            <w:pPr>
              <w:spacing w:after="40" w:line="252" w:lineRule="auto"/>
            </w:pPr>
            <w:r>
              <w:rPr>
                <w:b/>
                <w:i w:val="0"/>
                <w:sz w:val="18"/>
              </w:rPr>
              <w:t>Überprüfung</w:t>
            </w:r>
          </w:p>
        </w:tc>
        <w:tc>
          <w:tcPr>
            <w:tcW w:type="dxa" w:w="7030"/>
          </w:tcPr>
          <w:p>
            <w:pPr>
              <w:spacing w:after="40" w:line="252" w:lineRule="auto"/>
            </w:pPr>
            <w:r>
              <w:rPr>
                <w:b w:val="0"/>
                <w:i w:val="0"/>
                <w:sz w:val="18"/>
              </w:rPr>
              <w:t>Jährlich im November und bei Auslösern nach Baustein 12.</w:t>
            </w:r>
          </w:p>
        </w:tc>
      </w:tr>
    </w:tbl>
    <w:p>
      <w:pPr>
        <w:spacing w:after="40"/>
      </w:pPr>
    </w:p>
    <w:p>
      <w:r>
        <w:rPr>
          <w:b/>
          <w:sz w:val="18"/>
        </w:rPr>
        <w:t xml:space="preserve">Nachweis in der Akte: </w:t>
      </w:r>
      <w:r>
        <w:rPr>
          <w:b w:val="0"/>
          <w:i w:val="0"/>
          <w:sz w:val="18"/>
        </w:rPr>
        <w:t>Bewertungsblatt je Hersteller und Plantage mit Datum, Bearbeiter und Freigabe</w:t>
      </w:r>
    </w:p>
    <w:p>
      <w:pPr>
        <w:pStyle w:val="Heading2"/>
      </w:pPr>
      <w:r>
        <w:t>Baustein 6: Risikominderung</w:t>
      </w:r>
    </w:p>
    <w:p>
      <w:r>
        <w:rPr>
          <w:b/>
          <w:sz w:val="18"/>
        </w:rPr>
        <w:t xml:space="preserve">Rechtsgrundlage: </w:t>
      </w:r>
      <w:r>
        <w:rPr>
          <w:b w:val="0"/>
          <w:i w:val="0"/>
          <w:sz w:val="18"/>
        </w:rPr>
        <w:t>Art. 11 Abs. 1 und 3, Art. 4 Abs.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Maßnahmenkatalog</w:t>
            </w:r>
          </w:p>
        </w:tc>
        <w:tc>
          <w:tcPr>
            <w:tcW w:type="dxa" w:w="7030"/>
          </w:tcPr>
          <w:p>
            <w:pPr>
              <w:spacing w:after="40" w:line="252" w:lineRule="auto"/>
            </w:pPr>
            <w:r>
              <w:rPr>
                <w:b w:val="0"/>
                <w:i w:val="0"/>
                <w:sz w:val="18"/>
              </w:rPr>
              <w:t>Anhang E; Ausgangspunkt ist der Katalog der Excel-Vorlage zur Risikobewertung.</w:t>
            </w:r>
          </w:p>
        </w:tc>
      </w:tr>
      <w:tr>
        <w:tc>
          <w:tcPr>
            <w:tcW w:type="dxa" w:w="2608"/>
          </w:tcPr>
          <w:p>
            <w:pPr>
              <w:spacing w:after="40" w:line="252" w:lineRule="auto"/>
            </w:pPr>
            <w:r>
              <w:rPr>
                <w:b/>
                <w:i w:val="0"/>
                <w:sz w:val="18"/>
              </w:rPr>
              <w:t>Entscheidung</w:t>
            </w:r>
          </w:p>
        </w:tc>
        <w:tc>
          <w:tcPr>
            <w:tcW w:type="dxa" w:w="7030"/>
          </w:tcPr>
          <w:p>
            <w:pPr>
              <w:spacing w:after="40" w:line="252" w:lineRule="auto"/>
            </w:pPr>
            <w:r>
              <w:rPr>
                <w:b w:val="0"/>
                <w:i w:val="0"/>
                <w:sz w:val="18"/>
              </w:rPr>
              <w:t>EUDR-Team, gegengezeichnet von der Compliance-Beauftragten.</w:t>
            </w:r>
          </w:p>
        </w:tc>
      </w:tr>
      <w:tr>
        <w:tc>
          <w:tcPr>
            <w:tcW w:type="dxa" w:w="2608"/>
          </w:tcPr>
          <w:p>
            <w:pPr>
              <w:spacing w:after="40" w:line="252" w:lineRule="auto"/>
            </w:pPr>
            <w:r>
              <w:rPr>
                <w:b/>
                <w:i w:val="0"/>
                <w:sz w:val="18"/>
              </w:rPr>
              <w:t>Neubewertung</w:t>
            </w:r>
          </w:p>
        </w:tc>
        <w:tc>
          <w:tcPr>
            <w:tcW w:type="dxa" w:w="7030"/>
          </w:tcPr>
          <w:p>
            <w:pPr>
              <w:spacing w:after="40" w:line="252" w:lineRule="auto"/>
            </w:pPr>
            <w:r>
              <w:rPr>
                <w:b w:val="0"/>
                <w:i w:val="0"/>
                <w:sz w:val="18"/>
              </w:rPr>
              <w:t>Nach jeder Maßnahme durch das EUDR-Team, vor der nächsten Freigabe.</w:t>
            </w:r>
          </w:p>
        </w:tc>
      </w:tr>
      <w:tr>
        <w:tc>
          <w:tcPr>
            <w:tcW w:type="dxa" w:w="2608"/>
          </w:tcPr>
          <w:p>
            <w:pPr>
              <w:spacing w:after="40" w:line="252" w:lineRule="auto"/>
            </w:pPr>
            <w:r>
              <w:rPr>
                <w:b/>
                <w:i w:val="0"/>
                <w:sz w:val="18"/>
              </w:rPr>
              <w:t>Abbruch und Sperre</w:t>
            </w:r>
          </w:p>
        </w:tc>
        <w:tc>
          <w:tcPr>
            <w:tcW w:type="dxa" w:w="7030"/>
          </w:tcPr>
          <w:p>
            <w:pPr>
              <w:spacing w:after="40" w:line="252" w:lineRule="auto"/>
            </w:pPr>
            <w:r>
              <w:rPr>
                <w:b w:val="0"/>
                <w:i w:val="0"/>
                <w:sz w:val="18"/>
              </w:rPr>
              <w:t>Bleibt ein Kriterium nicht vernachlässigbar, wird der Hersteller für den betroffenen Weg gesperrt, bis eine wirksame Maßnahme belegt ist; Wiederaufnahme nur durch die Compliance-Beauftragte.</w:t>
            </w:r>
          </w:p>
        </w:tc>
      </w:tr>
      <w:tr>
        <w:tc>
          <w:tcPr>
            <w:tcW w:type="dxa" w:w="2608"/>
          </w:tcPr>
          <w:p>
            <w:pPr>
              <w:spacing w:after="40" w:line="252" w:lineRule="auto"/>
            </w:pPr>
            <w:r>
              <w:rPr>
                <w:b/>
                <w:i w:val="0"/>
                <w:sz w:val="18"/>
              </w:rPr>
              <w:t>Vermischung an Verarbeitungsstätten</w:t>
            </w:r>
          </w:p>
        </w:tc>
        <w:tc>
          <w:tcPr>
            <w:tcW w:type="dxa" w:w="7030"/>
          </w:tcPr>
          <w:p>
            <w:pPr>
              <w:spacing w:after="40" w:line="252" w:lineRule="auto"/>
            </w:pPr>
            <w:r>
              <w:rPr>
                <w:b w:val="0"/>
                <w:i w:val="0"/>
                <w:sz w:val="18"/>
              </w:rPr>
              <w:t>Input-Output-Übersicht je Hersteller mit eigener Fertigung; bei ID-2 getrennte Lagerung und monatliche Mengenbilanz.</w:t>
            </w:r>
          </w:p>
        </w:tc>
      </w:tr>
      <w:tr>
        <w:tc>
          <w:tcPr>
            <w:tcW w:type="dxa" w:w="2608"/>
          </w:tcPr>
          <w:p>
            <w:pPr>
              <w:spacing w:after="40" w:line="252" w:lineRule="auto"/>
            </w:pPr>
            <w:r>
              <w:rPr>
                <w:b/>
                <w:i w:val="0"/>
                <w:sz w:val="18"/>
              </w:rPr>
              <w:t>Dokumentation</w:t>
            </w:r>
          </w:p>
        </w:tc>
        <w:tc>
          <w:tcPr>
            <w:tcW w:type="dxa" w:w="7030"/>
          </w:tcPr>
          <w:p>
            <w:pPr>
              <w:spacing w:after="40" w:line="252" w:lineRule="auto"/>
            </w:pPr>
            <w:r>
              <w:rPr>
                <w:b w:val="0"/>
                <w:i w:val="0"/>
                <w:sz w:val="18"/>
              </w:rPr>
              <w:t>Entscheidungsvermerk im Bewertungsblatt: Befund, Maßnahme, Nachweis, Ergebnis, Entscheider, Datum.</w:t>
            </w:r>
          </w:p>
        </w:tc>
      </w:tr>
      <w:tr>
        <w:tc>
          <w:tcPr>
            <w:tcW w:type="dxa" w:w="2608"/>
          </w:tcPr>
          <w:p>
            <w:pPr>
              <w:spacing w:after="40" w:line="252" w:lineRule="auto"/>
            </w:pPr>
            <w:r>
              <w:rPr>
                <w:b/>
                <w:i w:val="0"/>
                <w:sz w:val="18"/>
              </w:rPr>
              <w:t>Überprüfung</w:t>
            </w:r>
          </w:p>
        </w:tc>
        <w:tc>
          <w:tcPr>
            <w:tcW w:type="dxa" w:w="7030"/>
          </w:tcPr>
          <w:p>
            <w:pPr>
              <w:spacing w:after="40" w:line="252" w:lineRule="auto"/>
            </w:pPr>
            <w:r>
              <w:rPr>
                <w:b w:val="0"/>
                <w:i w:val="0"/>
                <w:sz w:val="18"/>
              </w:rPr>
              <w:t>Jährlich im November mit der Risikobewertung.</w:t>
            </w:r>
          </w:p>
        </w:tc>
      </w:tr>
    </w:tbl>
    <w:p>
      <w:pPr>
        <w:spacing w:after="40"/>
      </w:pPr>
    </w:p>
    <w:p>
      <w:r>
        <w:rPr>
          <w:b/>
          <w:sz w:val="18"/>
        </w:rPr>
        <w:t xml:space="preserve">Nachweis in der Akte: </w:t>
      </w:r>
      <w:r>
        <w:rPr>
          <w:b w:val="0"/>
          <w:i w:val="0"/>
          <w:sz w:val="18"/>
        </w:rPr>
        <w:t>Entscheidungsvermerke M-01 bis M-03 (Anhang E) mit Ergebnis der Neubewertung</w:t>
      </w:r>
    </w:p>
    <w:p>
      <w:pPr>
        <w:pStyle w:val="Heading2"/>
      </w:pPr>
      <w:r>
        <w:t>Baustein 7: Freigabe und Warenfluss</w:t>
      </w:r>
    </w:p>
    <w:p>
      <w:r>
        <w:rPr>
          <w:b/>
          <w:sz w:val="18"/>
        </w:rPr>
        <w:t xml:space="preserve">Rechtsgrundlage: </w:t>
      </w:r>
      <w:r>
        <w:rPr>
          <w:b w:val="0"/>
          <w:i w:val="0"/>
          <w:sz w:val="18"/>
        </w:rPr>
        <w:t>Art. 3, Art. 4 Abs. 1 und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Freigabepunkt</w:t>
            </w:r>
          </w:p>
        </w:tc>
        <w:tc>
          <w:tcPr>
            <w:tcW w:type="dxa" w:w="7030"/>
          </w:tcPr>
          <w:p>
            <w:pPr>
              <w:spacing w:after="40" w:line="252" w:lineRule="auto"/>
            </w:pPr>
            <w:r>
              <w:rPr>
                <w:b w:val="0"/>
                <w:i w:val="0"/>
                <w:sz w:val="18"/>
              </w:rPr>
              <w:t>Vor dem Zollauftrag, also vor der Zollanmeldung.</w:t>
            </w:r>
          </w:p>
        </w:tc>
      </w:tr>
      <w:tr>
        <w:tc>
          <w:tcPr>
            <w:tcW w:type="dxa" w:w="2608"/>
          </w:tcPr>
          <w:p>
            <w:pPr>
              <w:spacing w:after="40" w:line="252" w:lineRule="auto"/>
            </w:pPr>
            <w:r>
              <w:rPr>
                <w:b/>
                <w:i w:val="0"/>
                <w:sz w:val="18"/>
              </w:rPr>
              <w:t>Freigabekriterien</w:t>
            </w:r>
          </w:p>
        </w:tc>
        <w:tc>
          <w:tcPr>
            <w:tcW w:type="dxa" w:w="7030"/>
          </w:tcPr>
          <w:p>
            <w:pPr>
              <w:spacing w:after="40" w:line="252" w:lineRule="auto"/>
            </w:pPr>
            <w:r>
              <w:rPr>
                <w:b w:val="0"/>
                <w:i w:val="0"/>
                <w:sz w:val="18"/>
              </w:rPr>
              <w:t>Prüfliste vollständig, Ergebnis vernachlässigbar oder nach Minderung vernachlässigbar, Erklärung deckt die Menge.</w:t>
            </w:r>
          </w:p>
        </w:tc>
      </w:tr>
      <w:tr>
        <w:tc>
          <w:tcPr>
            <w:tcW w:type="dxa" w:w="2608"/>
          </w:tcPr>
          <w:p>
            <w:pPr>
              <w:spacing w:after="40" w:line="252" w:lineRule="auto"/>
            </w:pPr>
            <w:r>
              <w:rPr>
                <w:b/>
                <w:i w:val="0"/>
                <w:sz w:val="18"/>
              </w:rPr>
              <w:t>Freigabe durch</w:t>
            </w:r>
          </w:p>
        </w:tc>
        <w:tc>
          <w:tcPr>
            <w:tcW w:type="dxa" w:w="7030"/>
          </w:tcPr>
          <w:p>
            <w:pPr>
              <w:spacing w:after="40" w:line="252" w:lineRule="auto"/>
            </w:pPr>
            <w:r>
              <w:rPr>
                <w:b w:val="0"/>
                <w:i w:val="0"/>
                <w:sz w:val="18"/>
              </w:rPr>
              <w:t>EUDR-Team mit einer zweiten Person aus Qualität und Nachhaltigkeit (Vier-Augen-Prinzip); Vetorecht der Compliance-Beauftragten.</w:t>
            </w:r>
          </w:p>
        </w:tc>
      </w:tr>
      <w:tr>
        <w:tc>
          <w:tcPr>
            <w:tcW w:type="dxa" w:w="2608"/>
          </w:tcPr>
          <w:p>
            <w:pPr>
              <w:spacing w:after="40" w:line="252" w:lineRule="auto"/>
            </w:pPr>
            <w:r>
              <w:rPr>
                <w:b/>
                <w:i w:val="0"/>
                <w:sz w:val="18"/>
              </w:rPr>
              <w:t>Technische Sperre</w:t>
            </w:r>
          </w:p>
        </w:tc>
        <w:tc>
          <w:tcPr>
            <w:tcW w:type="dxa" w:w="7030"/>
          </w:tcPr>
          <w:p>
            <w:pPr>
              <w:spacing w:after="40" w:line="252" w:lineRule="auto"/>
            </w:pPr>
            <w:r>
              <w:rPr>
                <w:b w:val="0"/>
                <w:i w:val="0"/>
                <w:sz w:val="18"/>
              </w:rPr>
              <w:t>Status „EUDR frei“ je Bestellposition im Warenwirtschaftssystem; ohne ihn kein Zollauftrag. Den Status setzt nur das EUDR-Team.</w:t>
            </w:r>
          </w:p>
        </w:tc>
      </w:tr>
      <w:tr>
        <w:tc>
          <w:tcPr>
            <w:tcW w:type="dxa" w:w="2608"/>
          </w:tcPr>
          <w:p>
            <w:pPr>
              <w:spacing w:after="40" w:line="252" w:lineRule="auto"/>
            </w:pPr>
            <w:r>
              <w:rPr>
                <w:b/>
                <w:i w:val="0"/>
                <w:sz w:val="18"/>
              </w:rPr>
              <w:t>Kennzeichnung</w:t>
            </w:r>
          </w:p>
        </w:tc>
        <w:tc>
          <w:tcPr>
            <w:tcW w:type="dxa" w:w="7030"/>
          </w:tcPr>
          <w:p>
            <w:pPr>
              <w:spacing w:after="40" w:line="252" w:lineRule="auto"/>
            </w:pPr>
            <w:r>
              <w:rPr>
                <w:b w:val="0"/>
                <w:i w:val="0"/>
                <w:sz w:val="18"/>
              </w:rPr>
              <w:t>Referenznummer je Position auf Zollauftrag, Rechnung und Lieferschein.</w:t>
            </w:r>
          </w:p>
        </w:tc>
      </w:tr>
      <w:tr>
        <w:tc>
          <w:tcPr>
            <w:tcW w:type="dxa" w:w="2608"/>
          </w:tcPr>
          <w:p>
            <w:pPr>
              <w:spacing w:after="40" w:line="252" w:lineRule="auto"/>
            </w:pPr>
            <w:r>
              <w:rPr>
                <w:b/>
                <w:i w:val="0"/>
                <w:sz w:val="18"/>
              </w:rPr>
              <w:t>Lager</w:t>
            </w:r>
          </w:p>
        </w:tc>
        <w:tc>
          <w:tcPr>
            <w:tcW w:type="dxa" w:w="7030"/>
          </w:tcPr>
          <w:p>
            <w:pPr>
              <w:spacing w:after="40" w:line="252" w:lineRule="auto"/>
            </w:pPr>
            <w:r>
              <w:rPr>
                <w:b w:val="0"/>
                <w:i w:val="0"/>
                <w:sz w:val="18"/>
              </w:rPr>
              <w:t>Eingeführte Ware wird mit Referenznummer gebucht; Altbestand mit Einfuhrdatum vor dem 30.12.2026 ist getrennt gebucht.</w:t>
            </w:r>
          </w:p>
        </w:tc>
      </w:tr>
      <w:tr>
        <w:tc>
          <w:tcPr>
            <w:tcW w:type="dxa" w:w="2608"/>
          </w:tcPr>
          <w:p>
            <w:pPr>
              <w:spacing w:after="40" w:line="252" w:lineRule="auto"/>
            </w:pPr>
            <w:r>
              <w:rPr>
                <w:b/>
                <w:i w:val="0"/>
                <w:sz w:val="18"/>
              </w:rPr>
              <w:t>Mengenabgleich</w:t>
            </w:r>
          </w:p>
        </w:tc>
        <w:tc>
          <w:tcPr>
            <w:tcW w:type="dxa" w:w="7030"/>
          </w:tcPr>
          <w:p>
            <w:pPr>
              <w:spacing w:after="40" w:line="252" w:lineRule="auto"/>
            </w:pPr>
            <w:r>
              <w:rPr>
                <w:b w:val="0"/>
                <w:i w:val="0"/>
                <w:sz w:val="18"/>
              </w:rPr>
              <w:t>Monatlich durch Qualität und Nachhaltigkeit.</w:t>
            </w:r>
          </w:p>
        </w:tc>
      </w:tr>
    </w:tbl>
    <w:p>
      <w:pPr>
        <w:spacing w:after="40"/>
      </w:pPr>
    </w:p>
    <w:p>
      <w:r>
        <w:rPr>
          <w:b/>
          <w:sz w:val="18"/>
        </w:rPr>
        <w:t xml:space="preserve">Nachweis in der Akte: </w:t>
      </w:r>
      <w:r>
        <w:rPr>
          <w:b w:val="0"/>
          <w:i w:val="0"/>
          <w:sz w:val="18"/>
        </w:rPr>
        <w:t>Freigabevermerk je Bestellposition, Lagerbuchung</w:t>
      </w:r>
    </w:p>
    <w:p>
      <w:pPr>
        <w:pStyle w:val="Heading2"/>
      </w:pPr>
      <w:r>
        <w:t>Baustein 8: Sorgfaltserklärung, Referenznummern, Zoll</w:t>
      </w:r>
    </w:p>
    <w:p>
      <w:r>
        <w:rPr>
          <w:b/>
          <w:sz w:val="18"/>
        </w:rPr>
        <w:t xml:space="preserve">Rechtsgrundlage: </w:t>
      </w:r>
      <w:r>
        <w:rPr>
          <w:b w:val="0"/>
          <w:i w:val="0"/>
          <w:sz w:val="18"/>
        </w:rPr>
        <w:t>Art. 4 Abs. 2, 3 und 7, Art. 6, Art. 26 Abs. 4; Art. 8a und 15a der Durchführungsverordnung (EU) 2024/3084 in der Fassung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Erstellung und Übermittlung</w:t>
            </w:r>
          </w:p>
        </w:tc>
        <w:tc>
          <w:tcPr>
            <w:tcW w:type="dxa" w:w="7030"/>
          </w:tcPr>
          <w:p>
            <w:pPr>
              <w:spacing w:after="40" w:line="252" w:lineRule="auto"/>
            </w:pPr>
            <w:r>
              <w:rPr>
                <w:b w:val="0"/>
                <w:i w:val="0"/>
                <w:sz w:val="18"/>
              </w:rPr>
              <w:t>Erstellung durch das EUDR-Team, Übermittlung durch Zoll und Logistik über die Schnittstelle der EUDR-Software; kein Bevollmächtigter.</w:t>
            </w:r>
          </w:p>
        </w:tc>
      </w:tr>
      <w:tr>
        <w:tc>
          <w:tcPr>
            <w:tcW w:type="dxa" w:w="2608"/>
          </w:tcPr>
          <w:p>
            <w:pPr>
              <w:spacing w:after="40" w:line="252" w:lineRule="auto"/>
            </w:pPr>
            <w:r>
              <w:rPr>
                <w:b/>
                <w:i w:val="0"/>
                <w:sz w:val="18"/>
              </w:rPr>
              <w:t>Erklärungsart</w:t>
            </w:r>
          </w:p>
        </w:tc>
        <w:tc>
          <w:tcPr>
            <w:tcW w:type="dxa" w:w="7030"/>
          </w:tcPr>
          <w:p>
            <w:pPr>
              <w:spacing w:after="40" w:line="252" w:lineRule="auto"/>
            </w:pPr>
            <w:r>
              <w:rPr>
                <w:b w:val="0"/>
                <w:i w:val="0"/>
                <w:sz w:val="18"/>
              </w:rPr>
              <w:t>Jahreserklärung je Hersteller und Erzeugnisgruppe, höchstens zwölf Monate ab Übermittlung.</w:t>
            </w:r>
          </w:p>
        </w:tc>
      </w:tr>
      <w:tr>
        <w:tc>
          <w:tcPr>
            <w:tcW w:type="dxa" w:w="2608"/>
          </w:tcPr>
          <w:p>
            <w:pPr>
              <w:spacing w:after="40" w:line="252" w:lineRule="auto"/>
            </w:pPr>
            <w:r>
              <w:rPr>
                <w:b/>
                <w:i w:val="0"/>
                <w:sz w:val="18"/>
              </w:rPr>
              <w:t>Deckung</w:t>
            </w:r>
          </w:p>
        </w:tc>
        <w:tc>
          <w:tcPr>
            <w:tcW w:type="dxa" w:w="7030"/>
          </w:tcPr>
          <w:p>
            <w:pPr>
              <w:spacing w:after="40" w:line="252" w:lineRule="auto"/>
            </w:pPr>
            <w:r>
              <w:rPr>
                <w:b w:val="0"/>
                <w:i w:val="0"/>
                <w:sz w:val="18"/>
              </w:rPr>
              <w:t>Nur Holz, das bei Übermittlung schon eingeschlagen ist (Kommissions-FAQ 5.19 Nr. 4).</w:t>
            </w:r>
          </w:p>
        </w:tc>
      </w:tr>
      <w:tr>
        <w:tc>
          <w:tcPr>
            <w:tcW w:type="dxa" w:w="2608"/>
          </w:tcPr>
          <w:p>
            <w:pPr>
              <w:spacing w:after="40" w:line="252" w:lineRule="auto"/>
            </w:pPr>
            <w:r>
              <w:rPr>
                <w:b/>
                <w:i w:val="0"/>
                <w:sz w:val="18"/>
              </w:rPr>
              <w:t>Mengenabgleich</w:t>
            </w:r>
          </w:p>
        </w:tc>
        <w:tc>
          <w:tcPr>
            <w:tcW w:type="dxa" w:w="7030"/>
          </w:tcPr>
          <w:p>
            <w:pPr>
              <w:spacing w:after="40" w:line="252" w:lineRule="auto"/>
            </w:pPr>
            <w:r>
              <w:rPr>
                <w:b w:val="0"/>
                <w:i w:val="0"/>
                <w:sz w:val="18"/>
              </w:rPr>
              <w:t>Monatlich mit Restmenge je Erklärung durch Qualität und Nachhaltigkeit.</w:t>
            </w:r>
          </w:p>
        </w:tc>
      </w:tr>
      <w:tr>
        <w:tc>
          <w:tcPr>
            <w:tcW w:type="dxa" w:w="2608"/>
          </w:tcPr>
          <w:p>
            <w:pPr>
              <w:spacing w:after="40" w:line="252" w:lineRule="auto"/>
            </w:pPr>
            <w:r>
              <w:rPr>
                <w:b/>
                <w:i w:val="0"/>
                <w:sz w:val="18"/>
              </w:rPr>
              <w:t>Prüfung vor Übermittlung</w:t>
            </w:r>
          </w:p>
        </w:tc>
        <w:tc>
          <w:tcPr>
            <w:tcW w:type="dxa" w:w="7030"/>
          </w:tcPr>
          <w:p>
            <w:pPr>
              <w:spacing w:after="40" w:line="252" w:lineRule="auto"/>
            </w:pPr>
            <w:r>
              <w:rPr>
                <w:b w:val="0"/>
                <w:i w:val="0"/>
                <w:sz w:val="18"/>
              </w:rPr>
              <w:t>Zweite Person im EUDR-Team.</w:t>
            </w:r>
          </w:p>
        </w:tc>
      </w:tr>
      <w:tr>
        <w:tc>
          <w:tcPr>
            <w:tcW w:type="dxa" w:w="2608"/>
          </w:tcPr>
          <w:p>
            <w:pPr>
              <w:spacing w:after="40" w:line="252" w:lineRule="auto"/>
            </w:pPr>
            <w:r>
              <w:rPr>
                <w:b/>
                <w:i w:val="0"/>
                <w:sz w:val="18"/>
              </w:rPr>
              <w:t>Änderung und Widerruf</w:t>
            </w:r>
          </w:p>
        </w:tc>
        <w:tc>
          <w:tcPr>
            <w:tcW w:type="dxa" w:w="7030"/>
          </w:tcPr>
          <w:p>
            <w:pPr>
              <w:spacing w:after="40" w:line="252" w:lineRule="auto"/>
            </w:pPr>
            <w:r>
              <w:rPr>
                <w:b w:val="0"/>
                <w:i w:val="0"/>
                <w:sz w:val="18"/>
              </w:rPr>
              <w:t>Innerhalb von 72 Stunden nach Validierung durch Zoll und Logistik nach Rücksprache mit dem EUDR-Team.</w:t>
            </w:r>
          </w:p>
        </w:tc>
      </w:tr>
      <w:tr>
        <w:tc>
          <w:tcPr>
            <w:tcW w:type="dxa" w:w="2608"/>
          </w:tcPr>
          <w:p>
            <w:pPr>
              <w:spacing w:after="40" w:line="252" w:lineRule="auto"/>
            </w:pPr>
            <w:r>
              <w:rPr>
                <w:b/>
                <w:i w:val="0"/>
                <w:sz w:val="18"/>
              </w:rPr>
              <w:t>Weitergabe</w:t>
            </w:r>
          </w:p>
        </w:tc>
        <w:tc>
          <w:tcPr>
            <w:tcW w:type="dxa" w:w="7030"/>
          </w:tcPr>
          <w:p>
            <w:pPr>
              <w:spacing w:after="40" w:line="252" w:lineRule="auto"/>
            </w:pPr>
            <w:r>
              <w:rPr>
                <w:b w:val="0"/>
                <w:i w:val="0"/>
                <w:sz w:val="18"/>
              </w:rPr>
              <w:t>Referenznummer auf Zollauftrag, Rechnung und Lieferschein; die Prüfnummer erhalten Abnehmer auf Anfrage.</w:t>
            </w:r>
          </w:p>
        </w:tc>
      </w:tr>
      <w:tr>
        <w:tc>
          <w:tcPr>
            <w:tcW w:type="dxa" w:w="2608"/>
          </w:tcPr>
          <w:p>
            <w:pPr>
              <w:spacing w:after="40" w:line="252" w:lineRule="auto"/>
            </w:pPr>
            <w:r>
              <w:rPr>
                <w:b/>
                <w:i w:val="0"/>
                <w:sz w:val="18"/>
              </w:rPr>
              <w:t>Notfallweg</w:t>
            </w:r>
          </w:p>
        </w:tc>
        <w:tc>
          <w:tcPr>
            <w:tcW w:type="dxa" w:w="7030"/>
          </w:tcPr>
          <w:p>
            <w:pPr>
              <w:spacing w:after="40" w:line="252" w:lineRule="auto"/>
            </w:pPr>
            <w:r>
              <w:rPr>
                <w:b w:val="0"/>
                <w:i w:val="0"/>
                <w:sz w:val="18"/>
              </w:rPr>
              <w:t>Bei ungeplantem Ausfall des Informationssystems über 60 Minuten Notfall-Referenznummer nach den Angaben der Kommission; Entscheidung durch die Leitung Zoll und Logistik; Nachtrag im Protokoll.</w:t>
            </w:r>
          </w:p>
        </w:tc>
      </w:tr>
      <w:tr>
        <w:tc>
          <w:tcPr>
            <w:tcW w:type="dxa" w:w="2608"/>
          </w:tcPr>
          <w:p>
            <w:pPr>
              <w:spacing w:after="40" w:line="252" w:lineRule="auto"/>
            </w:pPr>
            <w:r>
              <w:rPr>
                <w:b/>
                <w:i w:val="0"/>
                <w:sz w:val="18"/>
              </w:rPr>
              <w:t>Ablage</w:t>
            </w:r>
          </w:p>
        </w:tc>
        <w:tc>
          <w:tcPr>
            <w:tcW w:type="dxa" w:w="7030"/>
          </w:tcPr>
          <w:p>
            <w:pPr>
              <w:spacing w:after="40" w:line="252" w:lineRule="auto"/>
            </w:pPr>
            <w:r>
              <w:rPr>
                <w:b w:val="0"/>
                <w:i w:val="0"/>
                <w:sz w:val="18"/>
              </w:rPr>
              <w:t>PDF der Erklärung und Geodatei getrennt in der Akte, weil das PDF keine Geolokalisierung enthält.</w:t>
            </w:r>
          </w:p>
        </w:tc>
      </w:tr>
    </w:tbl>
    <w:p>
      <w:pPr>
        <w:spacing w:after="40"/>
      </w:pPr>
    </w:p>
    <w:p>
      <w:r>
        <w:rPr>
          <w:b/>
          <w:sz w:val="18"/>
        </w:rPr>
        <w:t xml:space="preserve">Nachweis in der Akte: </w:t>
      </w:r>
      <w:r>
        <w:rPr>
          <w:b w:val="0"/>
          <w:i w:val="0"/>
          <w:sz w:val="18"/>
        </w:rPr>
        <w:t>Erklärung als PDF und Geodatei, Referenz- und Prüfnummer, Zollanmeldung</w:t>
      </w:r>
    </w:p>
    <w:p>
      <w:pPr>
        <w:pStyle w:val="Heading2"/>
      </w:pPr>
      <w:r>
        <w:t>Baustein 9: Neue Informationen und begründete Bedenken</w:t>
      </w:r>
    </w:p>
    <w:p>
      <w:r>
        <w:rPr>
          <w:b/>
          <w:sz w:val="18"/>
        </w:rPr>
        <w:t xml:space="preserve">Rechtsgrundlage: </w:t>
      </w:r>
      <w:r>
        <w:rPr>
          <w:b w:val="0"/>
          <w:i w:val="0"/>
          <w:sz w:val="18"/>
        </w:rPr>
        <w:t>Art. 4 Abs. 5, Art. 13 Abs. 2, Art. 31</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Eingangskanäle</w:t>
            </w:r>
          </w:p>
        </w:tc>
        <w:tc>
          <w:tcPr>
            <w:tcW w:type="dxa" w:w="7030"/>
          </w:tcPr>
          <w:p>
            <w:pPr>
              <w:spacing w:after="40" w:line="252" w:lineRule="auto"/>
            </w:pPr>
            <w:r>
              <w:rPr>
                <w:b w:val="0"/>
                <w:i w:val="0"/>
                <w:sz w:val="18"/>
              </w:rPr>
              <w:t>Zentrales Postfach und Telefonnummer der Abteilung Qualität und Nachhaltigkeit; Hinweise von Lieferanten, Abnehmern, Organisationen, Behörden, Medien und aus der Satellitenauswertung.</w:t>
            </w:r>
          </w:p>
        </w:tc>
      </w:tr>
      <w:tr>
        <w:tc>
          <w:tcPr>
            <w:tcW w:type="dxa" w:w="2608"/>
          </w:tcPr>
          <w:p>
            <w:pPr>
              <w:spacing w:after="40" w:line="252" w:lineRule="auto"/>
            </w:pPr>
            <w:r>
              <w:rPr>
                <w:b/>
                <w:i w:val="0"/>
                <w:sz w:val="18"/>
              </w:rPr>
              <w:t>Erfassung und Zuständigkeit</w:t>
            </w:r>
          </w:p>
        </w:tc>
        <w:tc>
          <w:tcPr>
            <w:tcW w:type="dxa" w:w="7030"/>
          </w:tcPr>
          <w:p>
            <w:pPr>
              <w:spacing w:after="40" w:line="252" w:lineRule="auto"/>
            </w:pPr>
            <w:r>
              <w:rPr>
                <w:b w:val="0"/>
                <w:i w:val="0"/>
                <w:sz w:val="18"/>
              </w:rPr>
              <w:t>Erfassung im Meldeprotokoll durch das EUDR-Team; Bewertung durch das EUDR-Team mit der Compliance-Beauftragten.</w:t>
            </w:r>
          </w:p>
        </w:tc>
      </w:tr>
      <w:tr>
        <w:tc>
          <w:tcPr>
            <w:tcW w:type="dxa" w:w="2608"/>
          </w:tcPr>
          <w:p>
            <w:pPr>
              <w:spacing w:after="40" w:line="252" w:lineRule="auto"/>
            </w:pPr>
            <w:r>
              <w:rPr>
                <w:b/>
                <w:i w:val="0"/>
                <w:sz w:val="18"/>
              </w:rPr>
              <w:t>Frist für die Erstbewertung</w:t>
            </w:r>
          </w:p>
        </w:tc>
        <w:tc>
          <w:tcPr>
            <w:tcW w:type="dxa" w:w="7030"/>
          </w:tcPr>
          <w:p>
            <w:pPr>
              <w:spacing w:after="40" w:line="252" w:lineRule="auto"/>
            </w:pPr>
            <w:r>
              <w:rPr>
                <w:b w:val="0"/>
                <w:i w:val="0"/>
                <w:sz w:val="18"/>
              </w:rPr>
              <w:t>Zwei Arbeitstage.</w:t>
            </w:r>
          </w:p>
        </w:tc>
      </w:tr>
      <w:tr>
        <w:tc>
          <w:tcPr>
            <w:tcW w:type="dxa" w:w="2608"/>
          </w:tcPr>
          <w:p>
            <w:pPr>
              <w:spacing w:after="40" w:line="252" w:lineRule="auto"/>
            </w:pPr>
            <w:r>
              <w:rPr>
                <w:b/>
                <w:i w:val="0"/>
                <w:sz w:val="18"/>
              </w:rPr>
              <w:t>Sofortmaßnahme</w:t>
            </w:r>
          </w:p>
        </w:tc>
        <w:tc>
          <w:tcPr>
            <w:tcW w:type="dxa" w:w="7030"/>
          </w:tcPr>
          <w:p>
            <w:pPr>
              <w:spacing w:after="40" w:line="252" w:lineRule="auto"/>
            </w:pPr>
            <w:r>
              <w:rPr>
                <w:b w:val="0"/>
                <w:i w:val="0"/>
                <w:sz w:val="18"/>
              </w:rPr>
              <w:t>Sperre der betroffenen Bestände im Warenwirtschaftssystem.</w:t>
            </w:r>
          </w:p>
        </w:tc>
      </w:tr>
      <w:tr>
        <w:tc>
          <w:tcPr>
            <w:tcW w:type="dxa" w:w="2608"/>
          </w:tcPr>
          <w:p>
            <w:pPr>
              <w:spacing w:after="40" w:line="252" w:lineRule="auto"/>
            </w:pPr>
            <w:r>
              <w:rPr>
                <w:b/>
                <w:i w:val="0"/>
                <w:sz w:val="18"/>
              </w:rPr>
              <w:t>Meldung</w:t>
            </w:r>
          </w:p>
        </w:tc>
        <w:tc>
          <w:tcPr>
            <w:tcW w:type="dxa" w:w="7030"/>
          </w:tcPr>
          <w:p>
            <w:pPr>
              <w:spacing w:after="40" w:line="252" w:lineRule="auto"/>
            </w:pPr>
            <w:r>
              <w:rPr>
                <w:b w:val="0"/>
                <w:i w:val="0"/>
                <w:sz w:val="18"/>
              </w:rPr>
              <w:t>Unverzüglich an die BLE und an belieferte Händler durch die Compliance-Beauftragte.</w:t>
            </w:r>
          </w:p>
        </w:tc>
      </w:tr>
      <w:tr>
        <w:tc>
          <w:tcPr>
            <w:tcW w:type="dxa" w:w="2608"/>
          </w:tcPr>
          <w:p>
            <w:pPr>
              <w:spacing w:after="40" w:line="252" w:lineRule="auto"/>
            </w:pPr>
            <w:r>
              <w:rPr>
                <w:b/>
                <w:i w:val="0"/>
                <w:sz w:val="18"/>
              </w:rPr>
              <w:t>Bei vereinfachter Sorgfaltspflicht</w:t>
            </w:r>
          </w:p>
        </w:tc>
        <w:tc>
          <w:tcPr>
            <w:tcW w:type="dxa" w:w="7030"/>
          </w:tcPr>
          <w:p>
            <w:pPr>
              <w:spacing w:after="40" w:line="252" w:lineRule="auto"/>
            </w:pPr>
            <w:r>
              <w:rPr>
                <w:b w:val="0"/>
                <w:i w:val="0"/>
                <w:sz w:val="18"/>
              </w:rPr>
              <w:t>Volle Bewertung nach Art. 10 und 11 und Mitteilung an die BLE nach Art. 13 Abs. 2 (angewendet bei VN-2, Version 1.1).</w:t>
            </w:r>
          </w:p>
        </w:tc>
      </w:tr>
      <w:tr>
        <w:tc>
          <w:tcPr>
            <w:tcW w:type="dxa" w:w="2608"/>
          </w:tcPr>
          <w:p>
            <w:pPr>
              <w:spacing w:after="40" w:line="252" w:lineRule="auto"/>
            </w:pPr>
            <w:r>
              <w:rPr>
                <w:b/>
                <w:i w:val="0"/>
                <w:sz w:val="18"/>
              </w:rPr>
              <w:t>Rückkopplung</w:t>
            </w:r>
          </w:p>
        </w:tc>
        <w:tc>
          <w:tcPr>
            <w:tcW w:type="dxa" w:w="7030"/>
          </w:tcPr>
          <w:p>
            <w:pPr>
              <w:spacing w:after="40" w:line="252" w:lineRule="auto"/>
            </w:pPr>
            <w:r>
              <w:rPr>
                <w:b w:val="0"/>
                <w:i w:val="0"/>
                <w:sz w:val="18"/>
              </w:rPr>
              <w:t>Änderung der betroffenen Bausteine mit Eintrag im Änderungsprotokoll.</w:t>
            </w:r>
          </w:p>
        </w:tc>
      </w:tr>
    </w:tbl>
    <w:p>
      <w:pPr>
        <w:spacing w:after="40"/>
      </w:pPr>
    </w:p>
    <w:p>
      <w:r>
        <w:rPr>
          <w:b/>
          <w:sz w:val="18"/>
        </w:rPr>
        <w:t xml:space="preserve">Nachweis in der Akte: </w:t>
      </w:r>
      <w:r>
        <w:rPr>
          <w:b w:val="0"/>
          <w:i w:val="0"/>
          <w:sz w:val="18"/>
        </w:rPr>
        <w:t>Meldeprotokoll</w:t>
      </w:r>
    </w:p>
    <w:p>
      <w:pPr>
        <w:pStyle w:val="Heading1"/>
      </w:pPr>
      <w:r>
        <w:t>Teil C: Kontrolle und Pflege</w:t>
      </w:r>
    </w:p>
    <w:p>
      <w:pPr>
        <w:pStyle w:val="Heading2"/>
      </w:pPr>
      <w:r>
        <w:t>Baustein 10: Interne Kontrolle und unabhängige Prüfstelle</w:t>
      </w:r>
    </w:p>
    <w:p>
      <w:r>
        <w:rPr>
          <w:b/>
          <w:sz w:val="18"/>
        </w:rPr>
        <w:t xml:space="preserve">Rechtsgrundlage: </w:t>
      </w:r>
      <w:r>
        <w:rPr>
          <w:b w:val="0"/>
          <w:i w:val="0"/>
          <w:sz w:val="18"/>
        </w:rPr>
        <w:t>Art. 11 Abs. 2 Buchst. a und b</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Interne Kontrollen</w:t>
            </w:r>
          </w:p>
        </w:tc>
        <w:tc>
          <w:tcPr>
            <w:tcW w:type="dxa" w:w="7030"/>
          </w:tcPr>
          <w:p>
            <w:pPr>
              <w:spacing w:after="40" w:line="252" w:lineRule="auto"/>
            </w:pPr>
            <w:r>
              <w:rPr>
                <w:b w:val="0"/>
                <w:i w:val="0"/>
                <w:sz w:val="18"/>
              </w:rPr>
              <w:t>Je Quartal zehn zufällig gezogene Referenznummern; Prüfung auf vollständige Akte durch die Compliance-Beauftragte.</w:t>
            </w:r>
          </w:p>
        </w:tc>
      </w:tr>
      <w:tr>
        <w:tc>
          <w:tcPr>
            <w:tcW w:type="dxa" w:w="2608"/>
          </w:tcPr>
          <w:p>
            <w:pPr>
              <w:spacing w:after="40" w:line="252" w:lineRule="auto"/>
            </w:pPr>
            <w:r>
              <w:rPr>
                <w:b/>
                <w:i w:val="0"/>
                <w:sz w:val="18"/>
              </w:rPr>
              <w:t>Bericht an die Geschäftsleitung</w:t>
            </w:r>
          </w:p>
        </w:tc>
        <w:tc>
          <w:tcPr>
            <w:tcW w:type="dxa" w:w="7030"/>
          </w:tcPr>
          <w:p>
            <w:pPr>
              <w:spacing w:after="40" w:line="252" w:lineRule="auto"/>
            </w:pPr>
            <w:r>
              <w:rPr>
                <w:b w:val="0"/>
                <w:i w:val="0"/>
                <w:sz w:val="18"/>
              </w:rPr>
              <w:t>Je Quartal: Ergebnis der Stichproben, offene Maßnahmen, Meldungen.</w:t>
            </w:r>
          </w:p>
        </w:tc>
      </w:tr>
      <w:tr>
        <w:tc>
          <w:tcPr>
            <w:tcW w:type="dxa" w:w="2608"/>
          </w:tcPr>
          <w:p>
            <w:pPr>
              <w:spacing w:after="40" w:line="252" w:lineRule="auto"/>
            </w:pPr>
            <w:r>
              <w:rPr>
                <w:b/>
                <w:i w:val="0"/>
                <w:sz w:val="18"/>
              </w:rPr>
              <w:t>Prüfstelle</w:t>
            </w:r>
          </w:p>
        </w:tc>
        <w:tc>
          <w:tcPr>
            <w:tcW w:type="dxa" w:w="7030"/>
          </w:tcPr>
          <w:p>
            <w:pPr>
              <w:spacing w:after="40" w:line="252" w:lineRule="auto"/>
            </w:pPr>
            <w:r>
              <w:rPr>
                <w:b w:val="0"/>
                <w:i w:val="0"/>
                <w:sz w:val="18"/>
              </w:rPr>
              <w:t>Extern: beauftragte Prüfgesellschaft. Begründung: kein eigenes Revisionsteam; die Prüfgesellschaft ist an den Abläufen nicht beteiligt.</w:t>
            </w:r>
          </w:p>
        </w:tc>
      </w:tr>
      <w:tr>
        <w:tc>
          <w:tcPr>
            <w:tcW w:type="dxa" w:w="2608"/>
          </w:tcPr>
          <w:p>
            <w:pPr>
              <w:spacing w:after="40" w:line="252" w:lineRule="auto"/>
            </w:pPr>
            <w:r>
              <w:rPr>
                <w:b/>
                <w:i w:val="0"/>
                <w:sz w:val="18"/>
              </w:rPr>
              <w:t>Prüfauftrag</w:t>
            </w:r>
          </w:p>
        </w:tc>
        <w:tc>
          <w:tcPr>
            <w:tcW w:type="dxa" w:w="7030"/>
          </w:tcPr>
          <w:p>
            <w:pPr>
              <w:spacing w:after="40" w:line="252" w:lineRule="auto"/>
            </w:pPr>
            <w:r>
              <w:rPr>
                <w:b w:val="0"/>
                <w:i w:val="0"/>
                <w:sz w:val="18"/>
              </w:rPr>
              <w:t>Strategien, Kontrollen und Verfahren nach Art. 11 Abs. 2 Buchst. a; erste Prüfung im zweiten Quartal 2027, danach jährlich; Bericht an die Geschäftsführung.</w:t>
            </w:r>
          </w:p>
        </w:tc>
      </w:tr>
      <w:tr>
        <w:tc>
          <w:tcPr>
            <w:tcW w:type="dxa" w:w="2608"/>
          </w:tcPr>
          <w:p>
            <w:pPr>
              <w:spacing w:after="40" w:line="252" w:lineRule="auto"/>
            </w:pPr>
            <w:r>
              <w:rPr>
                <w:b/>
                <w:i w:val="0"/>
                <w:sz w:val="18"/>
              </w:rPr>
              <w:t>Maßnahmenverfolgung</w:t>
            </w:r>
          </w:p>
        </w:tc>
        <w:tc>
          <w:tcPr>
            <w:tcW w:type="dxa" w:w="7030"/>
          </w:tcPr>
          <w:p>
            <w:pPr>
              <w:spacing w:after="40" w:line="252" w:lineRule="auto"/>
            </w:pPr>
            <w:r>
              <w:rPr>
                <w:b w:val="0"/>
                <w:i w:val="0"/>
                <w:sz w:val="18"/>
              </w:rPr>
              <w:t>Compliance-Beauftragte; Fristen setzt die Geschäftsführung.</w:t>
            </w:r>
          </w:p>
        </w:tc>
      </w:tr>
      <w:tr>
        <w:tc>
          <w:tcPr>
            <w:tcW w:type="dxa" w:w="2608"/>
          </w:tcPr>
          <w:p>
            <w:pPr>
              <w:spacing w:after="40" w:line="252" w:lineRule="auto"/>
            </w:pPr>
            <w:r>
              <w:rPr>
                <w:b/>
                <w:i w:val="0"/>
                <w:sz w:val="18"/>
              </w:rPr>
              <w:t>Weitergabe der Ergebnisse an Abnehmer</w:t>
            </w:r>
          </w:p>
        </w:tc>
        <w:tc>
          <w:tcPr>
            <w:tcW w:type="dxa" w:w="7030"/>
          </w:tcPr>
          <w:p>
            <w:pPr>
              <w:spacing w:after="40" w:line="252" w:lineRule="auto"/>
            </w:pPr>
            <w:r>
              <w:rPr>
                <w:b w:val="0"/>
                <w:i w:val="0"/>
                <w:sz w:val="18"/>
              </w:rPr>
              <w:t>Zusammenfassung auf Anfrage.</w:t>
            </w:r>
          </w:p>
        </w:tc>
      </w:tr>
    </w:tbl>
    <w:p>
      <w:pPr>
        <w:spacing w:after="40"/>
      </w:pPr>
    </w:p>
    <w:p>
      <w:r>
        <w:rPr>
          <w:b/>
          <w:sz w:val="18"/>
        </w:rPr>
        <w:t xml:space="preserve">Nachweis in der Akte: </w:t>
      </w:r>
      <w:r>
        <w:rPr>
          <w:b w:val="0"/>
          <w:i w:val="0"/>
          <w:sz w:val="18"/>
        </w:rPr>
        <w:t>Stichprobenprotokolle, Prüfbericht der Prüfgesellschaft, Maßnahmenliste</w:t>
      </w:r>
    </w:p>
    <w:p>
      <w:pPr>
        <w:pStyle w:val="Heading2"/>
      </w:pPr>
      <w:r>
        <w:t>Baustein 11: Dokumentation und Behördenanfragen</w:t>
      </w:r>
    </w:p>
    <w:p>
      <w:r>
        <w:rPr>
          <w:b/>
          <w:sz w:val="18"/>
        </w:rPr>
        <w:t xml:space="preserve">Rechtsgrundlage: </w:t>
      </w:r>
      <w:r>
        <w:rPr>
          <w:b w:val="0"/>
          <w:i w:val="0"/>
          <w:sz w:val="18"/>
        </w:rPr>
        <w:t>Art. 4 Abs. 3 und 6, Art. 9 Abs. 1 und 2, Art. 10 Abs. 4, Art. 11 Abs. 3, Art. 12 Abs. 5, Art. 16 Abs. 13, Art. 18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Akte je Referenznummer</w:t>
            </w:r>
          </w:p>
        </w:tc>
        <w:tc>
          <w:tcPr>
            <w:tcW w:type="dxa" w:w="7030"/>
          </w:tcPr>
          <w:p>
            <w:pPr>
              <w:spacing w:after="40" w:line="252" w:lineRule="auto"/>
            </w:pPr>
            <w:r>
              <w:rPr>
                <w:b w:val="0"/>
                <w:i w:val="0"/>
                <w:sz w:val="18"/>
              </w:rPr>
              <w:t>Im Dokumentenmanagementsystem, gegliedert wie Baustein 11 der Vorlage.</w:t>
            </w:r>
          </w:p>
        </w:tc>
      </w:tr>
      <w:tr>
        <w:tc>
          <w:tcPr>
            <w:tcW w:type="dxa" w:w="2608"/>
          </w:tcPr>
          <w:p>
            <w:pPr>
              <w:spacing w:after="40" w:line="252" w:lineRule="auto"/>
            </w:pPr>
            <w:r>
              <w:rPr>
                <w:b/>
                <w:i w:val="0"/>
                <w:sz w:val="18"/>
              </w:rPr>
              <w:t>Fristen und Fristbeginn</w:t>
            </w:r>
          </w:p>
        </w:tc>
        <w:tc>
          <w:tcPr>
            <w:tcW w:type="dxa" w:w="7030"/>
          </w:tcPr>
          <w:p>
            <w:pPr>
              <w:spacing w:after="40" w:line="252" w:lineRule="auto"/>
            </w:pPr>
            <w:r>
              <w:rPr>
                <w:b w:val="0"/>
                <w:i w:val="0"/>
                <w:sz w:val="18"/>
              </w:rPr>
              <w:t>Nach der Tabelle unten; wo der Beginn offen ist, der späteste in Betracht kommende Zeitpunkt.</w:t>
            </w:r>
          </w:p>
        </w:tc>
      </w:tr>
      <w:tr>
        <w:tc>
          <w:tcPr>
            <w:tcW w:type="dxa" w:w="2608"/>
          </w:tcPr>
          <w:p>
            <w:pPr>
              <w:spacing w:after="40" w:line="252" w:lineRule="auto"/>
            </w:pPr>
            <w:r>
              <w:rPr>
                <w:b/>
                <w:i w:val="0"/>
                <w:sz w:val="18"/>
              </w:rPr>
              <w:t>Speicherort, Zugriff, Sicherung</w:t>
            </w:r>
          </w:p>
        </w:tc>
        <w:tc>
          <w:tcPr>
            <w:tcW w:type="dxa" w:w="7030"/>
          </w:tcPr>
          <w:p>
            <w:pPr>
              <w:spacing w:after="40" w:line="252" w:lineRule="auto"/>
            </w:pPr>
            <w:r>
              <w:rPr>
                <w:b w:val="0"/>
                <w:i w:val="0"/>
                <w:sz w:val="18"/>
              </w:rPr>
              <w:t>Dokumentenmanagementsystem; Zugriff EUDR-Team und Compliance-Beauftragte, Zoll und Logistik lesend; tägliche Sicherung.</w:t>
            </w:r>
          </w:p>
        </w:tc>
      </w:tr>
      <w:tr>
        <w:tc>
          <w:tcPr>
            <w:tcW w:type="dxa" w:w="2608"/>
          </w:tcPr>
          <w:p>
            <w:pPr>
              <w:spacing w:after="40" w:line="252" w:lineRule="auto"/>
            </w:pPr>
            <w:r>
              <w:rPr>
                <w:b/>
                <w:i w:val="0"/>
                <w:sz w:val="18"/>
              </w:rPr>
              <w:t>Löschung</w:t>
            </w:r>
          </w:p>
        </w:tc>
        <w:tc>
          <w:tcPr>
            <w:tcW w:type="dxa" w:w="7030"/>
          </w:tcPr>
          <w:p>
            <w:pPr>
              <w:spacing w:after="40" w:line="252" w:lineRule="auto"/>
            </w:pPr>
            <w:r>
              <w:rPr>
                <w:b w:val="0"/>
                <w:i w:val="0"/>
                <w:sz w:val="18"/>
              </w:rPr>
              <w:t>Nach Fristablauf mit Löschprotokoll.</w:t>
            </w:r>
          </w:p>
        </w:tc>
      </w:tr>
      <w:tr>
        <w:tc>
          <w:tcPr>
            <w:tcW w:type="dxa" w:w="2608"/>
          </w:tcPr>
          <w:p>
            <w:pPr>
              <w:spacing w:after="40" w:line="252" w:lineRule="auto"/>
            </w:pPr>
            <w:r>
              <w:rPr>
                <w:b/>
                <w:i w:val="0"/>
                <w:sz w:val="18"/>
              </w:rPr>
              <w:t>Ansprechpartner für die Behörde</w:t>
            </w:r>
          </w:p>
        </w:tc>
        <w:tc>
          <w:tcPr>
            <w:tcW w:type="dxa" w:w="7030"/>
          </w:tcPr>
          <w:p>
            <w:pPr>
              <w:spacing w:after="40" w:line="252" w:lineRule="auto"/>
            </w:pPr>
            <w:r>
              <w:rPr>
                <w:b w:val="0"/>
                <w:i w:val="0"/>
                <w:sz w:val="18"/>
              </w:rPr>
              <w:t>Compliance-Beauftragte; Vertretung Leitung Zoll und Logistik.</w:t>
            </w:r>
          </w:p>
        </w:tc>
      </w:tr>
      <w:tr>
        <w:tc>
          <w:tcPr>
            <w:tcW w:type="dxa" w:w="2608"/>
          </w:tcPr>
          <w:p>
            <w:pPr>
              <w:spacing w:after="40" w:line="252" w:lineRule="auto"/>
            </w:pPr>
            <w:r>
              <w:rPr>
                <w:b/>
                <w:i w:val="0"/>
                <w:sz w:val="18"/>
              </w:rPr>
              <w:t>Kontrolltag</w:t>
            </w:r>
          </w:p>
        </w:tc>
        <w:tc>
          <w:tcPr>
            <w:tcW w:type="dxa" w:w="7030"/>
          </w:tcPr>
          <w:p>
            <w:pPr>
              <w:spacing w:after="40" w:line="252" w:lineRule="auto"/>
            </w:pPr>
            <w:r>
              <w:rPr>
                <w:b w:val="0"/>
                <w:i w:val="0"/>
                <w:sz w:val="18"/>
              </w:rPr>
              <w:t>Die Compliance-Beauftragte gibt Auskunft; das Lager öffnet Räume und begleitet Probenahmen; das EUDR-Team stellt die Akten zusammen.</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948"/>
        <w:gridCol w:w="1474"/>
        <w:gridCol w:w="2835"/>
        <w:gridCol w:w="2381"/>
      </w:tblGrid>
      <w:tr>
        <w:trPr>
          <w:tblHeader w:val="true"/>
        </w:trPr>
        <w:tc>
          <w:tcPr>
            <w:tcW w:type="dxa" w:w="2948"/>
            <w:shd w:val="clear" w:color="auto" w:fill="D9E2EC"/>
          </w:tcPr>
          <w:p>
            <w:pPr>
              <w:spacing w:after="40" w:line="252" w:lineRule="auto"/>
            </w:pPr>
            <w:r>
              <w:rPr>
                <w:b/>
                <w:i w:val="0"/>
                <w:sz w:val="17"/>
              </w:rPr>
              <w:t>Unterlage</w:t>
            </w:r>
          </w:p>
        </w:tc>
        <w:tc>
          <w:tcPr>
            <w:tcW w:type="dxa" w:w="1474"/>
            <w:shd w:val="clear" w:color="auto" w:fill="D9E2EC"/>
          </w:tcPr>
          <w:p>
            <w:pPr>
              <w:spacing w:after="40" w:line="252" w:lineRule="auto"/>
            </w:pPr>
            <w:r>
              <w:rPr>
                <w:b/>
                <w:i w:val="0"/>
                <w:sz w:val="17"/>
              </w:rPr>
              <w:t>Frist</w:t>
            </w:r>
          </w:p>
        </w:tc>
        <w:tc>
          <w:tcPr>
            <w:tcW w:type="dxa" w:w="2835"/>
            <w:shd w:val="clear" w:color="auto" w:fill="D9E2EC"/>
          </w:tcPr>
          <w:p>
            <w:pPr>
              <w:spacing w:after="40" w:line="252" w:lineRule="auto"/>
            </w:pPr>
            <w:r>
              <w:rPr>
                <w:b/>
                <w:i w:val="0"/>
                <w:sz w:val="17"/>
              </w:rPr>
              <w:t>Beginn</w:t>
            </w:r>
          </w:p>
        </w:tc>
        <w:tc>
          <w:tcPr>
            <w:tcW w:type="dxa" w:w="2381"/>
            <w:shd w:val="clear" w:color="auto" w:fill="D9E2EC"/>
          </w:tcPr>
          <w:p>
            <w:pPr>
              <w:spacing w:after="40" w:line="252" w:lineRule="auto"/>
            </w:pPr>
            <w:r>
              <w:rPr>
                <w:b/>
                <w:i w:val="0"/>
                <w:sz w:val="17"/>
              </w:rPr>
              <w:t>Fundstelle</w:t>
            </w:r>
          </w:p>
        </w:tc>
      </w:tr>
      <w:tr>
        <w:tc>
          <w:tcPr>
            <w:tcW w:type="dxa" w:w="2948"/>
          </w:tcPr>
          <w:p>
            <w:pPr>
              <w:spacing w:after="40" w:line="252" w:lineRule="auto"/>
            </w:pPr>
            <w:r>
              <w:rPr>
                <w:b w:val="0"/>
                <w:i w:val="0"/>
                <w:sz w:val="17"/>
              </w:rPr>
              <w:t>Sorgfaltserklärung</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Übermittlung</w:t>
            </w:r>
          </w:p>
        </w:tc>
        <w:tc>
          <w:tcPr>
            <w:tcW w:type="dxa" w:w="2381"/>
          </w:tcPr>
          <w:p>
            <w:pPr>
              <w:spacing w:after="40" w:line="252" w:lineRule="auto"/>
            </w:pPr>
            <w:r>
              <w:rPr>
                <w:b w:val="0"/>
                <w:i w:val="0"/>
                <w:sz w:val="17"/>
              </w:rPr>
              <w:t>Art. 4 Abs. 3; FAQ 5.8</w:t>
            </w:r>
          </w:p>
        </w:tc>
      </w:tr>
      <w:tr>
        <w:tc>
          <w:tcPr>
            <w:tcW w:type="dxa" w:w="2948"/>
          </w:tcPr>
          <w:p>
            <w:pPr>
              <w:spacing w:after="40" w:line="252" w:lineRule="auto"/>
            </w:pPr>
            <w:r>
              <w:rPr>
                <w:b w:val="0"/>
                <w:i w:val="0"/>
                <w:sz w:val="17"/>
              </w:rPr>
              <w:t>Informationen nach Art. 9 Abs. 1 mit Nachweisen</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Bereitstellung auf dem Markt oder Ausfuhr</w:t>
            </w:r>
          </w:p>
        </w:tc>
        <w:tc>
          <w:tcPr>
            <w:tcW w:type="dxa" w:w="2381"/>
          </w:tcPr>
          <w:p>
            <w:pPr>
              <w:spacing w:after="40" w:line="252" w:lineRule="auto"/>
            </w:pPr>
            <w:r>
              <w:rPr>
                <w:b w:val="0"/>
                <w:i w:val="0"/>
                <w:sz w:val="17"/>
              </w:rPr>
              <w:t>Art. 9 Abs. 1; FAQ 5.8</w:t>
            </w:r>
          </w:p>
        </w:tc>
      </w:tr>
      <w:tr>
        <w:tc>
          <w:tcPr>
            <w:tcW w:type="dxa" w:w="2948"/>
          </w:tcPr>
          <w:p>
            <w:pPr>
              <w:spacing w:after="40" w:line="252" w:lineRule="auto"/>
            </w:pPr>
            <w:r>
              <w:rPr>
                <w:b w:val="0"/>
                <w:i w:val="0"/>
                <w:sz w:val="17"/>
              </w:rPr>
              <w:t>Risikobewertung, Minderungsentscheidungen</w:t>
            </w:r>
          </w:p>
        </w:tc>
        <w:tc>
          <w:tcPr>
            <w:tcW w:type="dxa" w:w="1474"/>
          </w:tcPr>
          <w:p>
            <w:pPr>
              <w:spacing w:after="40" w:line="252" w:lineRule="auto"/>
            </w:pPr>
            <w:r>
              <w:rPr>
                <w:b w:val="0"/>
                <w:i w:val="0"/>
                <w:sz w:val="17"/>
              </w:rPr>
              <w:t>mindestens fünf Jahre</w:t>
            </w:r>
          </w:p>
        </w:tc>
        <w:tc>
          <w:tcPr>
            <w:tcW w:type="dxa" w:w="2835"/>
          </w:tcPr>
          <w:p>
            <w:pPr>
              <w:spacing w:after="40" w:line="252" w:lineRule="auto"/>
            </w:pPr>
            <w:r>
              <w:rPr>
                <w:b w:val="0"/>
                <w:i w:val="0"/>
                <w:sz w:val="17"/>
              </w:rPr>
              <w:t>Abschluss der Sorgfaltsprüfung (FAQ 5.8); im Zweifel der spätere Zeitpunkt</w:t>
            </w:r>
          </w:p>
        </w:tc>
        <w:tc>
          <w:tcPr>
            <w:tcW w:type="dxa" w:w="2381"/>
          </w:tcPr>
          <w:p>
            <w:pPr>
              <w:spacing w:after="40" w:line="252" w:lineRule="auto"/>
            </w:pPr>
            <w:r>
              <w:rPr>
                <w:b w:val="0"/>
                <w:i w:val="0"/>
                <w:sz w:val="17"/>
              </w:rPr>
              <w:t>Art. 10 Abs. 4, Art. 11 Abs. 3, Art. 12 Abs. 5</w:t>
            </w:r>
          </w:p>
        </w:tc>
      </w:tr>
      <w:tr>
        <w:tc>
          <w:tcPr>
            <w:tcW w:type="dxa" w:w="2948"/>
          </w:tcPr>
          <w:p>
            <w:pPr>
              <w:spacing w:after="40" w:line="252" w:lineRule="auto"/>
            </w:pPr>
            <w:r>
              <w:rPr>
                <w:b w:val="0"/>
                <w:i w:val="0"/>
                <w:sz w:val="17"/>
              </w:rPr>
              <w:t>Aufzeichnungen über Aktualisierungen der Regelung</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Aktualisierung</w:t>
            </w:r>
          </w:p>
        </w:tc>
        <w:tc>
          <w:tcPr>
            <w:tcW w:type="dxa" w:w="2381"/>
          </w:tcPr>
          <w:p>
            <w:pPr>
              <w:spacing w:after="40" w:line="252" w:lineRule="auto"/>
            </w:pPr>
            <w:r>
              <w:rPr>
                <w:b w:val="0"/>
                <w:i w:val="0"/>
                <w:sz w:val="17"/>
              </w:rPr>
              <w:t>Art. 12 Abs. 2</w:t>
            </w:r>
          </w:p>
        </w:tc>
      </w:tr>
      <w:tr>
        <w:tc>
          <w:tcPr>
            <w:tcW w:type="dxa" w:w="2948"/>
          </w:tcPr>
          <w:p>
            <w:pPr>
              <w:spacing w:after="40" w:line="252" w:lineRule="auto"/>
            </w:pPr>
            <w:r>
              <w:rPr>
                <w:b w:val="0"/>
                <w:i w:val="0"/>
                <w:sz w:val="17"/>
              </w:rPr>
              <w:t>Alle übrigen Unterlagen zur Sorgfaltspflicht</w:t>
            </w:r>
          </w:p>
        </w:tc>
        <w:tc>
          <w:tcPr>
            <w:tcW w:type="dxa" w:w="1474"/>
          </w:tcPr>
          <w:p>
            <w:pPr>
              <w:spacing w:after="40" w:line="252" w:lineRule="auto"/>
            </w:pPr>
            <w:r>
              <w:rPr>
                <w:b w:val="0"/>
                <w:i w:val="0"/>
                <w:sz w:val="17"/>
              </w:rPr>
              <w:t>mindestens fünf Jahre</w:t>
            </w:r>
          </w:p>
        </w:tc>
        <w:tc>
          <w:tcPr>
            <w:tcW w:type="dxa" w:w="2835"/>
          </w:tcPr>
          <w:p>
            <w:pPr>
              <w:spacing w:after="40" w:line="252" w:lineRule="auto"/>
            </w:pPr>
            <w:r>
              <w:rPr>
                <w:b w:val="0"/>
                <w:i w:val="0"/>
                <w:sz w:val="17"/>
              </w:rPr>
              <w:t>nicht geregelt; Entwurf Drs. 21/8278: Erstellung</w:t>
            </w:r>
          </w:p>
        </w:tc>
        <w:tc>
          <w:tcPr>
            <w:tcW w:type="dxa" w:w="2381"/>
          </w:tcPr>
          <w:p>
            <w:pPr>
              <w:spacing w:after="40" w:line="252" w:lineRule="auto"/>
            </w:pPr>
            <w:r>
              <w:rPr>
                <w:b w:val="0"/>
                <w:i w:val="0"/>
                <w:sz w:val="17"/>
              </w:rPr>
              <w:t>Art. 12 Abs. 5</w:t>
            </w:r>
          </w:p>
        </w:tc>
      </w:tr>
      <w:tr>
        <w:tc>
          <w:tcPr>
            <w:tcW w:type="dxa" w:w="2948"/>
          </w:tcPr>
          <w:p>
            <w:pPr>
              <w:spacing w:after="40" w:line="252" w:lineRule="auto"/>
            </w:pPr>
            <w:r>
              <w:rPr>
                <w:b w:val="0"/>
                <w:i w:val="0"/>
                <w:sz w:val="17"/>
              </w:rPr>
              <w:t>Nachweis der Mengenentsprechung bei Sammelerklärungen</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letztes Inverkehrbringen</w:t>
            </w:r>
          </w:p>
        </w:tc>
        <w:tc>
          <w:tcPr>
            <w:tcW w:type="dxa" w:w="2381"/>
          </w:tcPr>
          <w:p>
            <w:pPr>
              <w:spacing w:after="40" w:line="252" w:lineRule="auto"/>
            </w:pPr>
            <w:r>
              <w:rPr>
                <w:b w:val="0"/>
                <w:i w:val="0"/>
                <w:sz w:val="17"/>
              </w:rPr>
              <w:t>FAQ 5.19 Nr. 5</w:t>
            </w:r>
          </w:p>
        </w:tc>
      </w:tr>
      <w:tr>
        <w:tc>
          <w:tcPr>
            <w:tcW w:type="dxa" w:w="2948"/>
          </w:tcPr>
          <w:p>
            <w:pPr>
              <w:spacing w:after="40" w:line="252" w:lineRule="auto"/>
            </w:pPr>
            <w:r>
              <w:rPr>
                <w:b w:val="0"/>
                <w:i w:val="0"/>
                <w:sz w:val="17"/>
              </w:rPr>
              <w:t>Angaben als Händler oder nachgelagerter Marktteilnehmer</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Inverkehrbringen, Bereitstellung oder Ausfuhr</w:t>
            </w:r>
          </w:p>
        </w:tc>
        <w:tc>
          <w:tcPr>
            <w:tcW w:type="dxa" w:w="2381"/>
          </w:tcPr>
          <w:p>
            <w:pPr>
              <w:spacing w:after="40" w:line="252" w:lineRule="auto"/>
            </w:pPr>
            <w:r>
              <w:rPr>
                <w:b w:val="0"/>
                <w:i w:val="0"/>
                <w:sz w:val="17"/>
              </w:rPr>
              <w:t>Art. 5 Abs. 4</w:t>
            </w:r>
          </w:p>
        </w:tc>
      </w:tr>
    </w:tbl>
    <w:p>
      <w:pPr>
        <w:spacing w:after="40"/>
      </w:pPr>
    </w:p>
    <w:p>
      <w:r>
        <w:rPr>
          <w:b/>
          <w:sz w:val="18"/>
        </w:rPr>
        <w:t xml:space="preserve">Nachweis in der Akte: </w:t>
      </w:r>
      <w:r>
        <w:rPr>
          <w:b w:val="0"/>
          <w:i w:val="0"/>
          <w:sz w:val="18"/>
        </w:rPr>
        <w:t>Ablageplan; Probeakte zur Referenznummer der ersten Jahreserklärung (Weg A)</w:t>
      </w:r>
    </w:p>
    <w:p>
      <w:pPr>
        <w:pStyle w:val="Heading2"/>
      </w:pPr>
      <w:r>
        <w:t>Baustein 12: Überprüfung, Aktualisierung, öffentlicher Bericht</w:t>
      </w:r>
    </w:p>
    <w:p>
      <w:r>
        <w:rPr>
          <w:b/>
          <w:sz w:val="18"/>
        </w:rPr>
        <w:t xml:space="preserve">Rechtsgrundlage: </w:t>
      </w:r>
      <w:r>
        <w:rPr>
          <w:b w:val="0"/>
          <w:i w:val="0"/>
          <w:sz w:val="18"/>
        </w:rPr>
        <w:t>Art. 12 Abs. 2 bis 4; Leitlinien der Kommission Kap. 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Jährliche Überprüfung</w:t>
            </w:r>
          </w:p>
        </w:tc>
        <w:tc>
          <w:tcPr>
            <w:tcW w:type="dxa" w:w="7030"/>
          </w:tcPr>
          <w:p>
            <w:pPr>
              <w:spacing w:after="40" w:line="252" w:lineRule="auto"/>
            </w:pPr>
            <w:r>
              <w:rPr>
                <w:b w:val="0"/>
                <w:i w:val="0"/>
                <w:sz w:val="18"/>
              </w:rPr>
              <w:t>Im November durch die Qualitätsmanagement-Beauftragte, die nicht in EUDR-Abläufen tätig ist; Prüfpunkte nach Anhang F; Mängelliste mit Fristen der Geschäftsführung. Vor der Erstfreigabe am 10.12.2026 durchgeführt (Anhang F).</w:t>
            </w:r>
          </w:p>
        </w:tc>
      </w:tr>
      <w:tr>
        <w:tc>
          <w:tcPr>
            <w:tcW w:type="dxa" w:w="2608"/>
          </w:tcPr>
          <w:p>
            <w:pPr>
              <w:spacing w:after="40" w:line="252" w:lineRule="auto"/>
            </w:pPr>
            <w:r>
              <w:rPr>
                <w:b/>
                <w:i w:val="0"/>
                <w:sz w:val="18"/>
              </w:rPr>
              <w:t>Auslöser für sofortige Aktualisierung</w:t>
            </w:r>
          </w:p>
        </w:tc>
        <w:tc>
          <w:tcPr>
            <w:tcW w:type="dxa" w:w="7030"/>
          </w:tcPr>
          <w:p>
            <w:pPr>
              <w:spacing w:after="40" w:line="252" w:lineRule="auto"/>
            </w:pPr>
            <w:r>
              <w:rPr>
                <w:b w:val="0"/>
                <w:i w:val="0"/>
                <w:sz w:val="18"/>
              </w:rPr>
              <w:t>Wie Vorlage; zusätzlich jeder Werksbesuch mit Befund.</w:t>
            </w:r>
          </w:p>
        </w:tc>
      </w:tr>
      <w:tr>
        <w:tc>
          <w:tcPr>
            <w:tcW w:type="dxa" w:w="2608"/>
          </w:tcPr>
          <w:p>
            <w:pPr>
              <w:spacing w:after="40" w:line="252" w:lineRule="auto"/>
            </w:pPr>
            <w:r>
              <w:rPr>
                <w:b/>
                <w:i w:val="0"/>
                <w:sz w:val="18"/>
              </w:rPr>
              <w:t>Änderungsprotokoll</w:t>
            </w:r>
          </w:p>
        </w:tc>
        <w:tc>
          <w:tcPr>
            <w:tcW w:type="dxa" w:w="7030"/>
          </w:tcPr>
          <w:p>
            <w:pPr>
              <w:spacing w:after="40" w:line="252" w:lineRule="auto"/>
            </w:pPr>
            <w:r>
              <w:rPr>
                <w:b w:val="0"/>
                <w:i w:val="0"/>
                <w:sz w:val="18"/>
              </w:rPr>
              <w:t>Siehe Lenkung; Aufbewahrung fünf Jahre.</w:t>
            </w:r>
          </w:p>
        </w:tc>
      </w:tr>
      <w:tr>
        <w:tc>
          <w:tcPr>
            <w:tcW w:type="dxa" w:w="2608"/>
          </w:tcPr>
          <w:p>
            <w:pPr>
              <w:spacing w:after="40" w:line="252" w:lineRule="auto"/>
            </w:pPr>
            <w:r>
              <w:rPr>
                <w:b/>
                <w:i w:val="0"/>
                <w:sz w:val="18"/>
              </w:rPr>
              <w:t>Öffentlicher Bericht</w:t>
            </w:r>
          </w:p>
        </w:tc>
        <w:tc>
          <w:tcPr>
            <w:tcW w:type="dxa" w:w="7030"/>
          </w:tcPr>
          <w:p>
            <w:pPr>
              <w:spacing w:after="40" w:line="252" w:lineRule="auto"/>
            </w:pPr>
            <w:r>
              <w:rPr>
                <w:b w:val="0"/>
                <w:i w:val="0"/>
                <w:sz w:val="18"/>
              </w:rPr>
              <w:t>Für 2027 im ersten Quartal 2028 auf der eigenen Website, weil das Unternehmen keinen Nachhaltigkeitsbericht erstellt (Musterannahme); verantwortlich: Compliance-Beauftragte; Datenschutzprüfung durch den Datenschutzbeauftragten; Freigabe durch die Geschäftsführung; Gliederung Anhang G.</w:t>
            </w:r>
          </w:p>
        </w:tc>
      </w:tr>
    </w:tbl>
    <w:p>
      <w:pPr>
        <w:spacing w:after="40"/>
      </w:pPr>
    </w:p>
    <w:p>
      <w:r>
        <w:rPr>
          <w:b/>
          <w:sz w:val="18"/>
        </w:rPr>
        <w:t xml:space="preserve">Nachweis in der Akte: </w:t>
      </w:r>
      <w:r>
        <w:rPr>
          <w:b w:val="0"/>
          <w:i w:val="0"/>
          <w:sz w:val="18"/>
        </w:rPr>
        <w:t>Prüfprotokoll (Anhang F), Änderungsprotokoll, Bericht ab 2028</w:t>
      </w:r>
    </w:p>
    <w:p>
      <w:pPr>
        <w:pStyle w:val="Heading1"/>
      </w:pPr>
      <w:r>
        <w:t>Anhänge</w:t>
      </w:r>
    </w:p>
    <w:p>
      <w:pPr>
        <w:pStyle w:val="Heading2"/>
      </w:pPr>
      <w:r>
        <w:t>Anhang A: Pflichten als Händler oder nachgelagerter Marktteilnehmer (Art. 5)</w:t>
      </w:r>
    </w:p>
    <w:p>
      <w:r>
        <w:rPr>
          <w:b w:val="0"/>
          <w:i w:val="0"/>
          <w:sz w:val="18"/>
        </w:rPr>
        <w:t>Nur ausfüllen, wenn Sie auch Erzeugnisse beziehen, die ein anderer Marktteilnehmer schon in Verkehr gebracht hat. Für diese Wege gilt Artikel 12 nicht.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1361"/>
        <w:gridCol w:w="1474"/>
        <w:gridCol w:w="3175"/>
      </w:tblGrid>
      <w:tr>
        <w:trPr>
          <w:tblHeader w:val="true"/>
        </w:trPr>
        <w:tc>
          <w:tcPr>
            <w:tcW w:type="dxa" w:w="3628"/>
            <w:shd w:val="clear" w:color="auto" w:fill="D9E2EC"/>
          </w:tcPr>
          <w:p>
            <w:pPr>
              <w:spacing w:after="40" w:line="252" w:lineRule="auto"/>
            </w:pPr>
            <w:r>
              <w:rPr>
                <w:b/>
                <w:i w:val="0"/>
                <w:sz w:val="17"/>
              </w:rPr>
              <w:t>Pflicht</w:t>
            </w:r>
          </w:p>
        </w:tc>
        <w:tc>
          <w:tcPr>
            <w:tcW w:type="dxa" w:w="1361"/>
            <w:shd w:val="clear" w:color="auto" w:fill="D9E2EC"/>
          </w:tcPr>
          <w:p>
            <w:pPr>
              <w:spacing w:after="40" w:line="252" w:lineRule="auto"/>
            </w:pPr>
            <w:r>
              <w:rPr>
                <w:b/>
                <w:i w:val="0"/>
                <w:sz w:val="17"/>
              </w:rPr>
              <w:t>Fundstelle</w:t>
            </w:r>
          </w:p>
        </w:tc>
        <w:tc>
          <w:tcPr>
            <w:tcW w:type="dxa" w:w="1474"/>
            <w:shd w:val="clear" w:color="auto" w:fill="D9E2EC"/>
          </w:tcPr>
          <w:p>
            <w:pPr>
              <w:spacing w:after="40" w:line="252" w:lineRule="auto"/>
            </w:pPr>
            <w:r>
              <w:rPr>
                <w:b/>
                <w:i w:val="0"/>
                <w:sz w:val="17"/>
              </w:rPr>
              <w:t>gilt für</w:t>
            </w:r>
          </w:p>
        </w:tc>
        <w:tc>
          <w:tcPr>
            <w:tcW w:type="dxa" w:w="3175"/>
            <w:shd w:val="clear" w:color="auto" w:fill="D9E2EC"/>
          </w:tcPr>
          <w:p>
            <w:pPr>
              <w:spacing w:after="40" w:line="252" w:lineRule="auto"/>
            </w:pPr>
            <w:r>
              <w:rPr>
                <w:b/>
                <w:i w:val="0"/>
                <w:sz w:val="17"/>
              </w:rPr>
              <w:t>Umsetzung im Unternehmen</w:t>
            </w:r>
          </w:p>
        </w:tc>
      </w:tr>
      <w:tr>
        <w:tc>
          <w:tcPr>
            <w:tcW w:type="dxa" w:w="3628"/>
          </w:tcPr>
          <w:p>
            <w:pPr>
              <w:spacing w:after="40" w:line="252" w:lineRule="auto"/>
            </w:pPr>
            <w:r>
              <w:rPr>
                <w:b w:val="0"/>
                <w:i w:val="0"/>
                <w:sz w:val="17"/>
              </w:rPr>
              <w:t>Angaben zu Lieferanten und Abnehmern; Referenznummern nur, wenn der Lieferant Marktteilnehmer ist. Die Hersteller in Polen und Deutschland fertigen aus Holz mit Sorgfaltserklärung und sind nachgelagerte Marktteilnehmer.</w:t>
            </w:r>
          </w:p>
        </w:tc>
        <w:tc>
          <w:tcPr>
            <w:tcW w:type="dxa" w:w="1361"/>
          </w:tcPr>
          <w:p>
            <w:pPr>
              <w:spacing w:after="40" w:line="252" w:lineRule="auto"/>
            </w:pPr>
            <w:r>
              <w:rPr>
                <w:b w:val="0"/>
                <w:i w:val="0"/>
                <w:sz w:val="17"/>
              </w:rPr>
              <w:t>Art. 5 Abs. 3</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rPr>
              <w:t>Im Warenwirtschaftssystem je Lieferant und Abnehmer, Einkauf und Vertrieb</w:t>
            </w:r>
          </w:p>
        </w:tc>
      </w:tr>
      <w:tr>
        <w:tc>
          <w:tcPr>
            <w:tcW w:type="dxa" w:w="3628"/>
          </w:tcPr>
          <w:p>
            <w:pPr>
              <w:spacing w:after="40" w:line="252" w:lineRule="auto"/>
            </w:pPr>
            <w:r>
              <w:rPr>
                <w:b w:val="0"/>
                <w:i w:val="0"/>
                <w:sz w:val="17"/>
              </w:rPr>
              <w:t>Aufbewahrung der Angaben</w:t>
            </w:r>
          </w:p>
        </w:tc>
        <w:tc>
          <w:tcPr>
            <w:tcW w:type="dxa" w:w="1361"/>
          </w:tcPr>
          <w:p>
            <w:pPr>
              <w:spacing w:after="40" w:line="252" w:lineRule="auto"/>
            </w:pPr>
            <w:r>
              <w:rPr>
                <w:b w:val="0"/>
                <w:i w:val="0"/>
                <w:sz w:val="17"/>
              </w:rPr>
              <w:t>Art. 5 Abs. 4</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rPr>
              <w:t>Fünf Jahre im Dokumentenmanagementsystem</w:t>
            </w:r>
          </w:p>
        </w:tc>
      </w:tr>
      <w:tr>
        <w:tc>
          <w:tcPr>
            <w:tcW w:type="dxa" w:w="3628"/>
          </w:tcPr>
          <w:p>
            <w:pPr>
              <w:spacing w:after="40" w:line="252" w:lineRule="auto"/>
            </w:pPr>
            <w:r>
              <w:rPr>
                <w:b w:val="0"/>
                <w:i w:val="0"/>
                <w:sz w:val="17"/>
              </w:rPr>
              <w:t>Unterrichtung bei neuen Informationen</w:t>
            </w:r>
          </w:p>
        </w:tc>
        <w:tc>
          <w:tcPr>
            <w:tcW w:type="dxa" w:w="1361"/>
          </w:tcPr>
          <w:p>
            <w:pPr>
              <w:spacing w:after="40" w:line="252" w:lineRule="auto"/>
            </w:pPr>
            <w:r>
              <w:rPr>
                <w:b w:val="0"/>
                <w:i w:val="0"/>
                <w:sz w:val="17"/>
              </w:rPr>
              <w:t>Art. 5 Abs. 5</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rPr>
              <w:t>Wie Baustein 9</w:t>
            </w:r>
          </w:p>
        </w:tc>
      </w:tr>
      <w:tr>
        <w:tc>
          <w:tcPr>
            <w:tcW w:type="dxa" w:w="3628"/>
          </w:tcPr>
          <w:p>
            <w:pPr>
              <w:spacing w:after="40" w:line="252" w:lineRule="auto"/>
            </w:pPr>
            <w:r>
              <w:rPr>
                <w:b w:val="0"/>
                <w:i w:val="0"/>
                <w:sz w:val="17"/>
              </w:rPr>
              <w:t>Registrierung im Informationssystem</w:t>
            </w:r>
          </w:p>
        </w:tc>
        <w:tc>
          <w:tcPr>
            <w:tcW w:type="dxa" w:w="1361"/>
          </w:tcPr>
          <w:p>
            <w:pPr>
              <w:spacing w:after="40" w:line="252" w:lineRule="auto"/>
            </w:pPr>
            <w:r>
              <w:rPr>
                <w:b w:val="0"/>
                <w:i w:val="0"/>
                <w:sz w:val="17"/>
              </w:rPr>
              <w:t>Art. 5 Abs. 2</w:t>
            </w:r>
          </w:p>
        </w:tc>
        <w:tc>
          <w:tcPr>
            <w:tcW w:type="dxa" w:w="1474"/>
          </w:tcPr>
          <w:p>
            <w:pPr>
              <w:spacing w:after="40" w:line="252" w:lineRule="auto"/>
            </w:pPr>
            <w:r>
              <w:rPr>
                <w:b w:val="0"/>
                <w:i w:val="0"/>
                <w:sz w:val="17"/>
              </w:rPr>
              <w:t>nur Nicht-KMU</w:t>
            </w:r>
          </w:p>
        </w:tc>
        <w:tc>
          <w:tcPr>
            <w:tcW w:type="dxa" w:w="3175"/>
          </w:tcPr>
          <w:p>
            <w:pPr>
              <w:spacing w:after="40" w:line="252" w:lineRule="auto"/>
            </w:pPr>
            <w:r>
              <w:rPr>
                <w:b w:val="0"/>
                <w:i w:val="0"/>
                <w:sz w:val="17"/>
              </w:rPr>
              <w:t>Erledigt im November 2026</w:t>
            </w:r>
          </w:p>
        </w:tc>
      </w:tr>
      <w:tr>
        <w:tc>
          <w:tcPr>
            <w:tcW w:type="dxa" w:w="3628"/>
          </w:tcPr>
          <w:p>
            <w:pPr>
              <w:spacing w:after="40" w:line="252" w:lineRule="auto"/>
            </w:pPr>
            <w:r>
              <w:rPr>
                <w:b w:val="0"/>
                <w:i w:val="0"/>
                <w:sz w:val="17"/>
              </w:rPr>
              <w:t>Prüfung bei begründeten Bedenken</w:t>
            </w:r>
          </w:p>
        </w:tc>
        <w:tc>
          <w:tcPr>
            <w:tcW w:type="dxa" w:w="1361"/>
          </w:tcPr>
          <w:p>
            <w:pPr>
              <w:spacing w:after="40" w:line="252" w:lineRule="auto"/>
            </w:pPr>
            <w:r>
              <w:rPr>
                <w:b w:val="0"/>
                <w:i w:val="0"/>
                <w:sz w:val="17"/>
              </w:rPr>
              <w:t>Art. 5 Abs. 6</w:t>
            </w:r>
          </w:p>
        </w:tc>
        <w:tc>
          <w:tcPr>
            <w:tcW w:type="dxa" w:w="1474"/>
          </w:tcPr>
          <w:p>
            <w:pPr>
              <w:spacing w:after="40" w:line="252" w:lineRule="auto"/>
            </w:pPr>
            <w:r>
              <w:rPr>
                <w:b w:val="0"/>
                <w:i w:val="0"/>
                <w:sz w:val="17"/>
              </w:rPr>
              <w:t>nur Nicht-KMU</w:t>
            </w:r>
          </w:p>
        </w:tc>
        <w:tc>
          <w:tcPr>
            <w:tcW w:type="dxa" w:w="3175"/>
          </w:tcPr>
          <w:p>
            <w:pPr>
              <w:spacing w:after="40" w:line="252" w:lineRule="auto"/>
            </w:pPr>
            <w:r>
              <w:rPr>
                <w:b w:val="0"/>
                <w:i w:val="0"/>
                <w:sz w:val="17"/>
              </w:rPr>
              <w:t>EUDR-Team; Ergebnis im Meldeprotokoll</w:t>
            </w:r>
          </w:p>
        </w:tc>
      </w:tr>
    </w:tbl>
    <w:p>
      <w:pPr>
        <w:spacing w:after="40"/>
      </w:pPr>
    </w:p>
    <w:p>
      <w:pPr>
        <w:pStyle w:val="Heading2"/>
      </w:pPr>
      <w:r>
        <w:t>Anhang B: Erzeugnisliste</w:t>
      </w:r>
    </w:p>
    <w:p>
      <w:r>
        <w:rPr>
          <w:b w:val="0"/>
          <w:i w:val="0"/>
          <w:sz w:val="18"/>
        </w:rPr>
        <w:t>Eine Zeile je Erzeugnis oder Artikelgruppe; Stand angeben.</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10"/>
        <w:gridCol w:w="1474"/>
        <w:gridCol w:w="2041"/>
        <w:gridCol w:w="2041"/>
        <w:gridCol w:w="737"/>
        <w:gridCol w:w="1247"/>
        <w:gridCol w:w="1587"/>
      </w:tblGrid>
      <w:tr>
        <w:trPr>
          <w:tblHeader w:val="true"/>
        </w:trPr>
        <w:tc>
          <w:tcPr>
            <w:tcW w:type="dxa" w:w="510"/>
            <w:shd w:val="clear" w:color="auto" w:fill="D9E2EC"/>
          </w:tcPr>
          <w:p>
            <w:pPr>
              <w:spacing w:after="40" w:line="252" w:lineRule="auto"/>
            </w:pPr>
            <w:r>
              <w:rPr>
                <w:b/>
                <w:i w:val="0"/>
                <w:sz w:val="17"/>
              </w:rPr>
              <w:t>Nr.</w:t>
            </w:r>
          </w:p>
        </w:tc>
        <w:tc>
          <w:tcPr>
            <w:tcW w:type="dxa" w:w="1474"/>
            <w:shd w:val="clear" w:color="auto" w:fill="D9E2EC"/>
          </w:tcPr>
          <w:p>
            <w:pPr>
              <w:spacing w:after="40" w:line="252" w:lineRule="auto"/>
            </w:pPr>
            <w:r>
              <w:rPr>
                <w:b/>
                <w:i w:val="0"/>
                <w:sz w:val="17"/>
              </w:rPr>
              <w:t>Code nach Anhang I</w:t>
            </w:r>
          </w:p>
        </w:tc>
        <w:tc>
          <w:tcPr>
            <w:tcW w:type="dxa" w:w="2041"/>
            <w:shd w:val="clear" w:color="auto" w:fill="D9E2EC"/>
          </w:tcPr>
          <w:p>
            <w:pPr>
              <w:spacing w:after="40" w:line="252" w:lineRule="auto"/>
            </w:pPr>
            <w:r>
              <w:rPr>
                <w:b/>
                <w:i w:val="0"/>
                <w:sz w:val="17"/>
              </w:rPr>
              <w:t>Bezeichnung</w:t>
            </w:r>
          </w:p>
        </w:tc>
        <w:tc>
          <w:tcPr>
            <w:tcW w:type="dxa" w:w="2041"/>
            <w:shd w:val="clear" w:color="auto" w:fill="D9E2EC"/>
          </w:tcPr>
          <w:p>
            <w:pPr>
              <w:spacing w:after="40" w:line="252" w:lineRule="auto"/>
            </w:pPr>
            <w:r>
              <w:rPr>
                <w:b/>
                <w:i w:val="0"/>
                <w:sz w:val="17"/>
              </w:rPr>
              <w:t>Rohstoff, Holzart</w:t>
            </w:r>
          </w:p>
        </w:tc>
        <w:tc>
          <w:tcPr>
            <w:tcW w:type="dxa" w:w="737"/>
            <w:shd w:val="clear" w:color="auto" w:fill="D9E2EC"/>
          </w:tcPr>
          <w:p>
            <w:pPr>
              <w:spacing w:after="40" w:line="252" w:lineRule="auto"/>
            </w:pPr>
            <w:r>
              <w:rPr>
                <w:b/>
                <w:i w:val="0"/>
                <w:sz w:val="17"/>
              </w:rPr>
              <w:t>Weg</w:t>
            </w:r>
          </w:p>
        </w:tc>
        <w:tc>
          <w:tcPr>
            <w:tcW w:type="dxa" w:w="1247"/>
            <w:shd w:val="clear" w:color="auto" w:fill="D9E2EC"/>
          </w:tcPr>
          <w:p>
            <w:pPr>
              <w:spacing w:after="40" w:line="252" w:lineRule="auto"/>
            </w:pPr>
            <w:r>
              <w:rPr>
                <w:b/>
                <w:i w:val="0"/>
                <w:sz w:val="17"/>
              </w:rPr>
              <w:t>gilt ab</w:t>
            </w:r>
          </w:p>
        </w:tc>
        <w:tc>
          <w:tcPr>
            <w:tcW w:type="dxa" w:w="1587"/>
            <w:shd w:val="clear" w:color="auto" w:fill="D9E2EC"/>
          </w:tcPr>
          <w:p>
            <w:pPr>
              <w:spacing w:after="40" w:line="252" w:lineRule="auto"/>
            </w:pPr>
            <w:r>
              <w:rPr>
                <w:b/>
                <w:i w:val="0"/>
                <w:sz w:val="17"/>
              </w:rPr>
              <w:t>Anhang EUTR</w:t>
            </w:r>
          </w:p>
        </w:tc>
      </w:tr>
      <w:tr>
        <w:tc>
          <w:tcPr>
            <w:tcW w:type="dxa" w:w="510"/>
          </w:tcPr>
          <w:p>
            <w:pPr>
              <w:spacing w:after="40" w:line="252" w:lineRule="auto"/>
            </w:pPr>
            <w:r>
              <w:rPr>
                <w:b w:val="0"/>
                <w:i w:val="0"/>
                <w:sz w:val="17"/>
              </w:rPr>
              <w:t>1</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Gartentische Teak</w:t>
            </w:r>
          </w:p>
        </w:tc>
        <w:tc>
          <w:tcPr>
            <w:tcW w:type="dxa" w:w="2041"/>
          </w:tcPr>
          <w:p>
            <w:pPr>
              <w:spacing w:after="40" w:line="252" w:lineRule="auto"/>
            </w:pPr>
            <w:r>
              <w:rPr>
                <w:b w:val="0"/>
                <w:i w:val="0"/>
                <w:sz w:val="17"/>
              </w:rPr>
              <w:t>Holz, Tectona grandis</w:t>
            </w:r>
          </w:p>
        </w:tc>
        <w:tc>
          <w:tcPr>
            <w:tcW w:type="dxa" w:w="737"/>
          </w:tcPr>
          <w:p>
            <w:pPr>
              <w:spacing w:after="40" w:line="252" w:lineRule="auto"/>
            </w:pPr>
            <w:r>
              <w:rPr>
                <w:b w:val="0"/>
                <w:i w:val="0"/>
                <w:sz w:val="17"/>
              </w:rPr>
              <w:t>A</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r>
        <w:tc>
          <w:tcPr>
            <w:tcW w:type="dxa" w:w="510"/>
          </w:tcPr>
          <w:p>
            <w:pPr>
              <w:spacing w:after="40" w:line="252" w:lineRule="auto"/>
            </w:pPr>
            <w:r>
              <w:rPr>
                <w:b w:val="0"/>
                <w:i w:val="0"/>
                <w:sz w:val="17"/>
              </w:rPr>
              <w:t>2</w:t>
            </w:r>
          </w:p>
        </w:tc>
        <w:tc>
          <w:tcPr>
            <w:tcW w:type="dxa" w:w="1474"/>
          </w:tcPr>
          <w:p>
            <w:pPr>
              <w:spacing w:after="40" w:line="252" w:lineRule="auto"/>
            </w:pPr>
            <w:r>
              <w:rPr>
                <w:b w:val="0"/>
                <w:i w:val="0"/>
                <w:sz w:val="17"/>
              </w:rPr>
              <w:t>ex 9401 69 00</w:t>
            </w:r>
          </w:p>
        </w:tc>
        <w:tc>
          <w:tcPr>
            <w:tcW w:type="dxa" w:w="2041"/>
          </w:tcPr>
          <w:p>
            <w:pPr>
              <w:spacing w:after="40" w:line="252" w:lineRule="auto"/>
            </w:pPr>
            <w:r>
              <w:rPr>
                <w:b w:val="0"/>
                <w:i w:val="0"/>
                <w:sz w:val="17"/>
              </w:rPr>
              <w:t>Gartenbänke Teak</w:t>
            </w:r>
          </w:p>
        </w:tc>
        <w:tc>
          <w:tcPr>
            <w:tcW w:type="dxa" w:w="2041"/>
          </w:tcPr>
          <w:p>
            <w:pPr>
              <w:spacing w:after="40" w:line="252" w:lineRule="auto"/>
            </w:pPr>
            <w:r>
              <w:rPr>
                <w:b w:val="0"/>
                <w:i w:val="0"/>
                <w:sz w:val="17"/>
              </w:rPr>
              <w:t>Holz, Tectona grandis</w:t>
            </w:r>
          </w:p>
        </w:tc>
        <w:tc>
          <w:tcPr>
            <w:tcW w:type="dxa" w:w="737"/>
          </w:tcPr>
          <w:p>
            <w:pPr>
              <w:spacing w:after="40" w:line="252" w:lineRule="auto"/>
            </w:pPr>
            <w:r>
              <w:rPr>
                <w:b w:val="0"/>
                <w:i w:val="0"/>
                <w:sz w:val="17"/>
              </w:rPr>
              <w:t>A</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r>
        <w:tc>
          <w:tcPr>
            <w:tcW w:type="dxa" w:w="510"/>
          </w:tcPr>
          <w:p>
            <w:pPr>
              <w:spacing w:after="40" w:line="252" w:lineRule="auto"/>
            </w:pPr>
            <w:r>
              <w:rPr>
                <w:b w:val="0"/>
                <w:i w:val="0"/>
                <w:sz w:val="17"/>
              </w:rPr>
              <w:t>3</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Kommoden</w:t>
            </w:r>
          </w:p>
        </w:tc>
        <w:tc>
          <w:tcPr>
            <w:tcW w:type="dxa" w:w="2041"/>
          </w:tcPr>
          <w:p>
            <w:pPr>
              <w:spacing w:after="40" w:line="252" w:lineRule="auto"/>
            </w:pPr>
            <w:r>
              <w:rPr>
                <w:b w:val="0"/>
                <w:i w:val="0"/>
                <w:sz w:val="17"/>
              </w:rPr>
              <w:t>Holz, Hevea brasiliensis</w:t>
            </w:r>
          </w:p>
        </w:tc>
        <w:tc>
          <w:tcPr>
            <w:tcW w:type="dxa" w:w="737"/>
          </w:tcPr>
          <w:p>
            <w:pPr>
              <w:spacing w:after="40" w:line="252" w:lineRule="auto"/>
            </w:pPr>
            <w:r>
              <w:rPr>
                <w:b w:val="0"/>
                <w:i w:val="0"/>
                <w:sz w:val="17"/>
              </w:rPr>
              <w:t>B</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r>
        <w:tc>
          <w:tcPr>
            <w:tcW w:type="dxa" w:w="510"/>
          </w:tcPr>
          <w:p>
            <w:pPr>
              <w:spacing w:after="40" w:line="252" w:lineRule="auto"/>
            </w:pPr>
            <w:r>
              <w:rPr>
                <w:b w:val="0"/>
                <w:i w:val="0"/>
                <w:sz w:val="17"/>
              </w:rPr>
              <w:t>4</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Regale</w:t>
            </w:r>
          </w:p>
        </w:tc>
        <w:tc>
          <w:tcPr>
            <w:tcW w:type="dxa" w:w="2041"/>
          </w:tcPr>
          <w:p>
            <w:pPr>
              <w:spacing w:after="40" w:line="252" w:lineRule="auto"/>
            </w:pPr>
            <w:r>
              <w:rPr>
                <w:b w:val="0"/>
                <w:i w:val="0"/>
                <w:sz w:val="17"/>
              </w:rPr>
              <w:t>Holz, Acacia mangium</w:t>
            </w:r>
          </w:p>
        </w:tc>
        <w:tc>
          <w:tcPr>
            <w:tcW w:type="dxa" w:w="737"/>
          </w:tcPr>
          <w:p>
            <w:pPr>
              <w:spacing w:after="40" w:line="252" w:lineRule="auto"/>
            </w:pPr>
            <w:r>
              <w:rPr>
                <w:b w:val="0"/>
                <w:i w:val="0"/>
                <w:sz w:val="17"/>
              </w:rPr>
              <w:t>B</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r>
        <w:tc>
          <w:tcPr>
            <w:tcW w:type="dxa" w:w="510"/>
          </w:tcPr>
          <w:p>
            <w:pPr>
              <w:spacing w:after="40" w:line="252" w:lineRule="auto"/>
            </w:pPr>
            <w:r>
              <w:rPr>
                <w:b w:val="0"/>
                <w:i w:val="0"/>
                <w:sz w:val="17"/>
              </w:rPr>
              <w:t>5</w:t>
            </w:r>
          </w:p>
        </w:tc>
        <w:tc>
          <w:tcPr>
            <w:tcW w:type="dxa" w:w="1474"/>
          </w:tcPr>
          <w:p>
            <w:pPr>
              <w:spacing w:after="40" w:line="252" w:lineRule="auto"/>
            </w:pPr>
            <w:r>
              <w:rPr>
                <w:b w:val="0"/>
                <w:i w:val="0"/>
                <w:sz w:val="17"/>
              </w:rPr>
              <w:t>ex 9401 61 00</w:t>
            </w:r>
          </w:p>
        </w:tc>
        <w:tc>
          <w:tcPr>
            <w:tcW w:type="dxa" w:w="2041"/>
          </w:tcPr>
          <w:p>
            <w:pPr>
              <w:spacing w:after="40" w:line="252" w:lineRule="auto"/>
            </w:pPr>
            <w:r>
              <w:rPr>
                <w:b w:val="0"/>
                <w:i w:val="0"/>
                <w:sz w:val="17"/>
              </w:rPr>
              <w:t>Polstersessel mit Holzgestell</w:t>
            </w:r>
          </w:p>
        </w:tc>
        <w:tc>
          <w:tcPr>
            <w:tcW w:type="dxa" w:w="2041"/>
          </w:tcPr>
          <w:p>
            <w:pPr>
              <w:spacing w:after="40" w:line="252" w:lineRule="auto"/>
            </w:pPr>
            <w:r>
              <w:rPr>
                <w:b w:val="0"/>
                <w:i w:val="0"/>
                <w:sz w:val="17"/>
              </w:rPr>
              <w:t>Holz (Lieferant nennt die Art)</w:t>
            </w:r>
          </w:p>
        </w:tc>
        <w:tc>
          <w:tcPr>
            <w:tcW w:type="dxa" w:w="737"/>
          </w:tcPr>
          <w:p>
            <w:pPr>
              <w:spacing w:after="40" w:line="252" w:lineRule="auto"/>
            </w:pPr>
            <w:r>
              <w:rPr>
                <w:b w:val="0"/>
                <w:i w:val="0"/>
                <w:sz w:val="17"/>
              </w:rPr>
              <w:t>C</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r>
        <w:tc>
          <w:tcPr>
            <w:tcW w:type="dxa" w:w="510"/>
          </w:tcPr>
          <w:p>
            <w:pPr>
              <w:spacing w:after="40" w:line="252" w:lineRule="auto"/>
            </w:pPr>
            <w:r>
              <w:rPr>
                <w:b w:val="0"/>
                <w:i w:val="0"/>
                <w:sz w:val="17"/>
              </w:rPr>
              <w:t>6</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Esstische</w:t>
            </w:r>
          </w:p>
        </w:tc>
        <w:tc>
          <w:tcPr>
            <w:tcW w:type="dxa" w:w="2041"/>
          </w:tcPr>
          <w:p>
            <w:pPr>
              <w:spacing w:after="40" w:line="252" w:lineRule="auto"/>
            </w:pPr>
            <w:r>
              <w:rPr>
                <w:b w:val="0"/>
                <w:i w:val="0"/>
                <w:sz w:val="17"/>
              </w:rPr>
              <w:t>Holz (Lieferant nennt die Art)</w:t>
            </w:r>
          </w:p>
        </w:tc>
        <w:tc>
          <w:tcPr>
            <w:tcW w:type="dxa" w:w="737"/>
          </w:tcPr>
          <w:p>
            <w:pPr>
              <w:spacing w:after="40" w:line="252" w:lineRule="auto"/>
            </w:pPr>
            <w:r>
              <w:rPr>
                <w:b w:val="0"/>
                <w:i w:val="0"/>
                <w:sz w:val="17"/>
              </w:rPr>
              <w:t>C</w:t>
            </w:r>
          </w:p>
        </w:tc>
        <w:tc>
          <w:tcPr>
            <w:tcW w:type="dxa" w:w="1247"/>
          </w:tcPr>
          <w:p>
            <w:pPr>
              <w:spacing w:after="40" w:line="252" w:lineRule="auto"/>
            </w:pPr>
            <w:r>
              <w:rPr>
                <w:b w:val="0"/>
                <w:i w:val="0"/>
                <w:sz w:val="17"/>
              </w:rPr>
              <w:t>30.12.2026</w:t>
            </w:r>
          </w:p>
        </w:tc>
        <w:tc>
          <w:tcPr>
            <w:tcW w:type="dxa" w:w="1587"/>
          </w:tcPr>
          <w:p>
            <w:pPr>
              <w:spacing w:after="40" w:line="252" w:lineRule="auto"/>
            </w:pPr>
            <w:r>
              <w:rPr>
                <w:b w:val="0"/>
                <w:i w:val="0"/>
                <w:sz w:val="17"/>
              </w:rPr>
              <w:t>entfällt (Nicht-KMU)</w:t>
            </w:r>
          </w:p>
        </w:tc>
      </w:tr>
    </w:tbl>
    <w:p>
      <w:pPr>
        <w:spacing w:after="40"/>
      </w:pPr>
    </w:p>
    <w:p>
      <w:r>
        <w:rPr>
          <w:b w:val="0"/>
          <w:i/>
          <w:sz w:val="17"/>
        </w:rPr>
        <w:t>Auszug: 6 von 14 Artikelgruppen; Stand 01.12.2026.</w:t>
      </w:r>
    </w:p>
    <w:p>
      <w:pPr>
        <w:pStyle w:val="Heading2"/>
      </w:pPr>
      <w:r>
        <w:t>Anhang C: Beschaffungswege und Rollen</w:t>
      </w:r>
    </w:p>
    <w:p>
      <w:r>
        <w:rPr>
          <w:b w:val="0"/>
          <w:i w:val="0"/>
          <w:sz w:val="18"/>
        </w:rPr>
        <w:t>Eine Zeile je Beschaffungsweg; Rolle und Pflichtenumfang mit Begründung.</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474"/>
        <w:gridCol w:w="1928"/>
        <w:gridCol w:w="2041"/>
        <w:gridCol w:w="2268"/>
        <w:gridCol w:w="1928"/>
      </w:tblGrid>
      <w:tr>
        <w:trPr>
          <w:tblHeader w:val="true"/>
        </w:trPr>
        <w:tc>
          <w:tcPr>
            <w:tcW w:type="dxa" w:w="1474"/>
            <w:shd w:val="clear" w:color="auto" w:fill="D9E2EC"/>
          </w:tcPr>
          <w:p>
            <w:pPr>
              <w:spacing w:after="40" w:line="252" w:lineRule="auto"/>
            </w:pPr>
            <w:r>
              <w:rPr>
                <w:b/>
                <w:i w:val="0"/>
                <w:sz w:val="17"/>
              </w:rPr>
              <w:t>Weg</w:t>
            </w:r>
          </w:p>
        </w:tc>
        <w:tc>
          <w:tcPr>
            <w:tcW w:type="dxa" w:w="1928"/>
            <w:shd w:val="clear" w:color="auto" w:fill="D9E2EC"/>
          </w:tcPr>
          <w:p>
            <w:pPr>
              <w:spacing w:after="40" w:line="252" w:lineRule="auto"/>
            </w:pPr>
            <w:r>
              <w:rPr>
                <w:b/>
                <w:i w:val="0"/>
                <w:sz w:val="17"/>
              </w:rPr>
              <w:t>Erzeugnisse, Lieferanten</w:t>
            </w:r>
          </w:p>
        </w:tc>
        <w:tc>
          <w:tcPr>
            <w:tcW w:type="dxa" w:w="2041"/>
            <w:shd w:val="clear" w:color="auto" w:fill="D9E2EC"/>
          </w:tcPr>
          <w:p>
            <w:pPr>
              <w:spacing w:after="40" w:line="252" w:lineRule="auto"/>
            </w:pPr>
            <w:r>
              <w:rPr>
                <w:b/>
                <w:i w:val="0"/>
                <w:sz w:val="17"/>
              </w:rPr>
              <w:t>Erzeugerland, Länderrisiko (Stand)</w:t>
            </w:r>
          </w:p>
        </w:tc>
        <w:tc>
          <w:tcPr>
            <w:tcW w:type="dxa" w:w="2268"/>
            <w:shd w:val="clear" w:color="auto" w:fill="D9E2EC"/>
          </w:tcPr>
          <w:p>
            <w:pPr>
              <w:spacing w:after="40" w:line="252" w:lineRule="auto"/>
            </w:pPr>
            <w:r>
              <w:rPr>
                <w:b/>
                <w:i w:val="0"/>
                <w:sz w:val="17"/>
              </w:rPr>
              <w:t>Rolle, Pflichtenumfang</w:t>
            </w:r>
          </w:p>
        </w:tc>
        <w:tc>
          <w:tcPr>
            <w:tcW w:type="dxa" w:w="1928"/>
            <w:shd w:val="clear" w:color="auto" w:fill="D9E2EC"/>
          </w:tcPr>
          <w:p>
            <w:pPr>
              <w:spacing w:after="40" w:line="252" w:lineRule="auto"/>
            </w:pPr>
            <w:r>
              <w:rPr>
                <w:b/>
                <w:i w:val="0"/>
                <w:sz w:val="17"/>
              </w:rPr>
              <w:t>Begründung, geprüft am, von</w:t>
            </w:r>
          </w:p>
        </w:tc>
      </w:tr>
      <w:tr>
        <w:tc>
          <w:tcPr>
            <w:tcW w:type="dxa" w:w="1474"/>
          </w:tcPr>
          <w:p>
            <w:pPr>
              <w:spacing w:after="40" w:line="252" w:lineRule="auto"/>
            </w:pPr>
            <w:r>
              <w:rPr>
                <w:b w:val="0"/>
                <w:i w:val="0"/>
                <w:sz w:val="17"/>
              </w:rPr>
              <w:t>A Import Teakmöbel</w:t>
            </w:r>
          </w:p>
        </w:tc>
        <w:tc>
          <w:tcPr>
            <w:tcW w:type="dxa" w:w="1928"/>
          </w:tcPr>
          <w:p>
            <w:pPr>
              <w:spacing w:after="40" w:line="252" w:lineRule="auto"/>
            </w:pPr>
            <w:r>
              <w:rPr>
                <w:b w:val="0"/>
                <w:i w:val="0"/>
                <w:sz w:val="17"/>
              </w:rPr>
              <w:t>Gartentische, Gartenbänke; Hersteller ID-1 und ID-2</w:t>
            </w:r>
          </w:p>
        </w:tc>
        <w:tc>
          <w:tcPr>
            <w:tcW w:type="dxa" w:w="2041"/>
          </w:tcPr>
          <w:p>
            <w:pPr>
              <w:spacing w:after="40" w:line="252" w:lineRule="auto"/>
            </w:pPr>
            <w:r>
              <w:rPr>
                <w:b w:val="0"/>
                <w:i w:val="0"/>
                <w:sz w:val="17"/>
              </w:rPr>
              <w:t>Indonesien, Standardrisiko (Stand 01.12.2026)</w:t>
            </w:r>
          </w:p>
        </w:tc>
        <w:tc>
          <w:tcPr>
            <w:tcW w:type="dxa" w:w="2268"/>
          </w:tcPr>
          <w:p>
            <w:pPr>
              <w:spacing w:after="40" w:line="252" w:lineRule="auto"/>
            </w:pPr>
            <w:r>
              <w:rPr>
                <w:b w:val="0"/>
                <w:i w:val="0"/>
                <w:sz w:val="17"/>
              </w:rPr>
              <w:t>Marktteilnehmer; volle Sorgfaltspflicht Art. 8 bis 12, als Nicht-KMU mit Art. 11 Abs. 2 und Art. 12 Abs. 3</w:t>
            </w:r>
          </w:p>
        </w:tc>
        <w:tc>
          <w:tcPr>
            <w:tcW w:type="dxa" w:w="1928"/>
          </w:tcPr>
          <w:p>
            <w:pPr>
              <w:spacing w:after="40" w:line="252" w:lineRule="auto"/>
            </w:pPr>
            <w:r>
              <w:rPr>
                <w:b w:val="0"/>
                <w:i w:val="0"/>
                <w:sz w:val="17"/>
              </w:rPr>
              <w:t>Einfuhr im eigenen Namen; 03.11.2026, EUDR-Team</w:t>
            </w:r>
          </w:p>
        </w:tc>
      </w:tr>
      <w:tr>
        <w:tc>
          <w:tcPr>
            <w:tcW w:type="dxa" w:w="1474"/>
          </w:tcPr>
          <w:p>
            <w:pPr>
              <w:spacing w:after="40" w:line="252" w:lineRule="auto"/>
            </w:pPr>
            <w:r>
              <w:rPr>
                <w:b w:val="0"/>
                <w:i w:val="0"/>
                <w:sz w:val="17"/>
              </w:rPr>
              <w:t>B Import Möbel aus Vietnam</w:t>
            </w:r>
          </w:p>
        </w:tc>
        <w:tc>
          <w:tcPr>
            <w:tcW w:type="dxa" w:w="1928"/>
          </w:tcPr>
          <w:p>
            <w:pPr>
              <w:spacing w:after="40" w:line="252" w:lineRule="auto"/>
            </w:pPr>
            <w:r>
              <w:rPr>
                <w:b w:val="0"/>
                <w:i w:val="0"/>
                <w:sz w:val="17"/>
              </w:rPr>
              <w:t>Kommoden, Regale; Hersteller VN-1, VN-2, VN-3</w:t>
            </w:r>
          </w:p>
        </w:tc>
        <w:tc>
          <w:tcPr>
            <w:tcW w:type="dxa" w:w="2041"/>
          </w:tcPr>
          <w:p>
            <w:pPr>
              <w:spacing w:after="40" w:line="252" w:lineRule="auto"/>
            </w:pPr>
            <w:r>
              <w:rPr>
                <w:b w:val="0"/>
                <w:i w:val="0"/>
                <w:sz w:val="17"/>
              </w:rPr>
              <w:t>Vietnam, geringes Risiko (Stand 01.12.2026); VN-3 verarbeitet zusätzlich Holz aus Ländern mit Standardrisiko</w:t>
            </w:r>
          </w:p>
        </w:tc>
        <w:tc>
          <w:tcPr>
            <w:tcW w:type="dxa" w:w="2268"/>
          </w:tcPr>
          <w:p>
            <w:pPr>
              <w:spacing w:after="40" w:line="252" w:lineRule="auto"/>
            </w:pPr>
            <w:r>
              <w:rPr>
                <w:b w:val="0"/>
                <w:i w:val="0"/>
                <w:sz w:val="17"/>
              </w:rPr>
              <w:t>Marktteilnehmer; VN-1 und VN-2 Art. 13 nach dokumentierter Prüfung (VN-2 seit 20.01.2027 volle Sorgfaltspflicht); VN-3 volle Sorgfaltspflicht</w:t>
            </w:r>
          </w:p>
        </w:tc>
        <w:tc>
          <w:tcPr>
            <w:tcW w:type="dxa" w:w="1928"/>
          </w:tcPr>
          <w:p>
            <w:pPr>
              <w:spacing w:after="40" w:line="252" w:lineRule="auto"/>
            </w:pPr>
            <w:r>
              <w:rPr>
                <w:b w:val="0"/>
                <w:i w:val="0"/>
                <w:sz w:val="17"/>
              </w:rPr>
              <w:t>Einfuhr im eigenen Namen; 03.11.2026 und 20.01.2027, EUDR-Team</w:t>
            </w:r>
          </w:p>
        </w:tc>
      </w:tr>
      <w:tr>
        <w:tc>
          <w:tcPr>
            <w:tcW w:type="dxa" w:w="1474"/>
          </w:tcPr>
          <w:p>
            <w:pPr>
              <w:spacing w:after="40" w:line="252" w:lineRule="auto"/>
            </w:pPr>
            <w:r>
              <w:rPr>
                <w:b w:val="0"/>
                <w:i w:val="0"/>
                <w:sz w:val="17"/>
              </w:rPr>
              <w:t>C Zukauf in der EU</w:t>
            </w:r>
          </w:p>
        </w:tc>
        <w:tc>
          <w:tcPr>
            <w:tcW w:type="dxa" w:w="1928"/>
          </w:tcPr>
          <w:p>
            <w:pPr>
              <w:spacing w:after="40" w:line="252" w:lineRule="auto"/>
            </w:pPr>
            <w:r>
              <w:rPr>
                <w:b w:val="0"/>
                <w:i w:val="0"/>
                <w:sz w:val="17"/>
              </w:rPr>
              <w:t>Polstersessel, Esstische; Hersteller PL-1 und DE-1</w:t>
            </w:r>
          </w:p>
        </w:tc>
        <w:tc>
          <w:tcPr>
            <w:tcW w:type="dxa" w:w="2041"/>
          </w:tcPr>
          <w:p>
            <w:pPr>
              <w:spacing w:after="40" w:line="252" w:lineRule="auto"/>
            </w:pPr>
            <w:r>
              <w:rPr>
                <w:b w:val="0"/>
                <w:i w:val="0"/>
                <w:sz w:val="17"/>
              </w:rPr>
              <w:t>entfällt für den Händler</w:t>
            </w:r>
          </w:p>
        </w:tc>
        <w:tc>
          <w:tcPr>
            <w:tcW w:type="dxa" w:w="2268"/>
          </w:tcPr>
          <w:p>
            <w:pPr>
              <w:spacing w:after="40" w:line="252" w:lineRule="auto"/>
            </w:pPr>
            <w:r>
              <w:rPr>
                <w:b w:val="0"/>
                <w:i w:val="0"/>
                <w:sz w:val="17"/>
              </w:rPr>
              <w:t>Händler (Nicht-KMU); Art. 5, Anhang A</w:t>
            </w:r>
          </w:p>
        </w:tc>
        <w:tc>
          <w:tcPr>
            <w:tcW w:type="dxa" w:w="1928"/>
          </w:tcPr>
          <w:p>
            <w:pPr>
              <w:spacing w:after="40" w:line="252" w:lineRule="auto"/>
            </w:pPr>
            <w:r>
              <w:rPr>
                <w:b w:val="0"/>
                <w:i w:val="0"/>
                <w:sz w:val="17"/>
              </w:rPr>
              <w:t>Die Hersteller haben die Ware in der EU in Verkehr gebracht; 03.11.2026, EUDR-Team</w:t>
            </w:r>
          </w:p>
        </w:tc>
      </w:tr>
    </w:tbl>
    <w:p>
      <w:pPr>
        <w:spacing w:after="40"/>
      </w:pPr>
    </w:p>
    <w:p>
      <w:pPr>
        <w:pStyle w:val="Heading2"/>
      </w:pPr>
      <w:r>
        <w:t>Anhang D: Zuständigkeitsmatrix</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494"/>
        <w:gridCol w:w="794"/>
        <w:gridCol w:w="794"/>
        <w:gridCol w:w="794"/>
        <w:gridCol w:w="794"/>
        <w:gridCol w:w="794"/>
        <w:gridCol w:w="794"/>
        <w:gridCol w:w="794"/>
        <w:gridCol w:w="794"/>
        <w:gridCol w:w="794"/>
      </w:tblGrid>
      <w:tr>
        <w:trPr>
          <w:tblHeader w:val="true"/>
        </w:trPr>
        <w:tc>
          <w:tcPr>
            <w:tcW w:type="dxa" w:w="2494"/>
            <w:shd w:val="clear" w:color="auto" w:fill="D9E2EC"/>
          </w:tcPr>
          <w:p>
            <w:pPr>
              <w:spacing w:after="40" w:line="252" w:lineRule="auto"/>
            </w:pPr>
            <w:r>
              <w:rPr>
                <w:b/>
                <w:i w:val="0"/>
                <w:sz w:val="16"/>
              </w:rPr>
              <w:t>Aufgabe</w:t>
            </w:r>
          </w:p>
        </w:tc>
        <w:tc>
          <w:tcPr>
            <w:tcW w:type="dxa" w:w="794"/>
            <w:shd w:val="clear" w:color="auto" w:fill="D9E2EC"/>
          </w:tcPr>
          <w:p>
            <w:pPr>
              <w:spacing w:after="40" w:line="252" w:lineRule="auto"/>
            </w:pPr>
            <w:r>
              <w:rPr>
                <w:b/>
                <w:i w:val="0"/>
                <w:sz w:val="16"/>
              </w:rPr>
              <w:t>GL</w:t>
            </w:r>
          </w:p>
        </w:tc>
        <w:tc>
          <w:tcPr>
            <w:tcW w:type="dxa" w:w="794"/>
            <w:shd w:val="clear" w:color="auto" w:fill="D9E2EC"/>
          </w:tcPr>
          <w:p>
            <w:pPr>
              <w:spacing w:after="40" w:line="252" w:lineRule="auto"/>
            </w:pPr>
            <w:r>
              <w:rPr>
                <w:b/>
                <w:i w:val="0"/>
                <w:sz w:val="16"/>
              </w:rPr>
              <w:t>CB</w:t>
            </w:r>
          </w:p>
        </w:tc>
        <w:tc>
          <w:tcPr>
            <w:tcW w:type="dxa" w:w="794"/>
            <w:shd w:val="clear" w:color="auto" w:fill="D9E2EC"/>
          </w:tcPr>
          <w:p>
            <w:pPr>
              <w:spacing w:after="40" w:line="252" w:lineRule="auto"/>
            </w:pPr>
            <w:r>
              <w:rPr>
                <w:b/>
                <w:i w:val="0"/>
                <w:sz w:val="16"/>
              </w:rPr>
              <w:t>EK</w:t>
            </w:r>
          </w:p>
        </w:tc>
        <w:tc>
          <w:tcPr>
            <w:tcW w:type="dxa" w:w="794"/>
            <w:shd w:val="clear" w:color="auto" w:fill="D9E2EC"/>
          </w:tcPr>
          <w:p>
            <w:pPr>
              <w:spacing w:after="40" w:line="252" w:lineRule="auto"/>
            </w:pPr>
            <w:r>
              <w:rPr>
                <w:b/>
                <w:i w:val="0"/>
                <w:sz w:val="16"/>
              </w:rPr>
              <w:t>QN</w:t>
            </w:r>
          </w:p>
        </w:tc>
        <w:tc>
          <w:tcPr>
            <w:tcW w:type="dxa" w:w="794"/>
            <w:shd w:val="clear" w:color="auto" w:fill="D9E2EC"/>
          </w:tcPr>
          <w:p>
            <w:pPr>
              <w:spacing w:after="40" w:line="252" w:lineRule="auto"/>
            </w:pPr>
            <w:r>
              <w:rPr>
                <w:b/>
                <w:i w:val="0"/>
                <w:sz w:val="16"/>
              </w:rPr>
              <w:t>ZL</w:t>
            </w:r>
          </w:p>
        </w:tc>
        <w:tc>
          <w:tcPr>
            <w:tcW w:type="dxa" w:w="794"/>
            <w:shd w:val="clear" w:color="auto" w:fill="D9E2EC"/>
          </w:tcPr>
          <w:p>
            <w:pPr>
              <w:spacing w:after="40" w:line="252" w:lineRule="auto"/>
            </w:pPr>
            <w:r>
              <w:rPr>
                <w:b/>
                <w:i w:val="0"/>
                <w:sz w:val="16"/>
              </w:rPr>
              <w:t>LA</w:t>
            </w:r>
          </w:p>
        </w:tc>
        <w:tc>
          <w:tcPr>
            <w:tcW w:type="dxa" w:w="794"/>
            <w:shd w:val="clear" w:color="auto" w:fill="D9E2EC"/>
          </w:tcPr>
          <w:p>
            <w:pPr>
              <w:spacing w:after="40" w:line="252" w:lineRule="auto"/>
            </w:pPr>
            <w:r>
              <w:rPr>
                <w:b/>
                <w:i w:val="0"/>
                <w:sz w:val="16"/>
              </w:rPr>
              <w:t>VT</w:t>
            </w:r>
          </w:p>
        </w:tc>
        <w:tc>
          <w:tcPr>
            <w:tcW w:type="dxa" w:w="794"/>
            <w:shd w:val="clear" w:color="auto" w:fill="D9E2EC"/>
          </w:tcPr>
          <w:p>
            <w:pPr>
              <w:spacing w:after="40" w:line="252" w:lineRule="auto"/>
            </w:pPr>
            <w:r>
              <w:rPr>
                <w:b/>
                <w:i w:val="0"/>
                <w:sz w:val="16"/>
              </w:rPr>
              <w:t>IT</w:t>
            </w:r>
          </w:p>
        </w:tc>
        <w:tc>
          <w:tcPr>
            <w:tcW w:type="dxa" w:w="794"/>
            <w:shd w:val="clear" w:color="auto" w:fill="D9E2EC"/>
          </w:tcPr>
          <w:p>
            <w:pPr>
              <w:spacing w:after="40" w:line="252" w:lineRule="auto"/>
            </w:pPr>
            <w:r>
              <w:rPr>
                <w:b/>
                <w:i w:val="0"/>
                <w:sz w:val="16"/>
              </w:rPr>
              <w:t>PS</w:t>
            </w:r>
          </w:p>
        </w:tc>
      </w:tr>
      <w:tr>
        <w:tc>
          <w:tcPr>
            <w:tcW w:type="dxa" w:w="2494"/>
          </w:tcPr>
          <w:p>
            <w:pPr>
              <w:spacing w:after="40" w:line="252" w:lineRule="auto"/>
            </w:pPr>
            <w:r>
              <w:rPr>
                <w:b w:val="0"/>
                <w:i w:val="0"/>
                <w:sz w:val="16"/>
              </w:rPr>
              <w:t>Regelung freigeben</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r>
      <w:tr>
        <w:tc>
          <w:tcPr>
            <w:tcW w:type="dxa" w:w="2494"/>
          </w:tcPr>
          <w:p>
            <w:pPr>
              <w:spacing w:after="40" w:line="252" w:lineRule="auto"/>
            </w:pPr>
            <w:r>
              <w:rPr>
                <w:b w:val="0"/>
                <w:i w:val="0"/>
                <w:sz w:val="16"/>
              </w:rPr>
              <w:t>Rollen und Erzeugnisse festlegen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Lieferanten abfragen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Geodaten und Nachweise prüfen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Risiko bewerten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Minderung entscheiden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Lieferung freigeben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Erklärung übermitteln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Nummern an Zoll und Abnehmer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Ware trennen und kennzeichnen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Neue Informationen bewerten und melden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Akte führen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Jährliche Überprüfung</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r>
      <w:tr>
        <w:tc>
          <w:tcPr>
            <w:tcW w:type="dxa" w:w="2494"/>
          </w:tcPr>
          <w:p>
            <w:pPr>
              <w:spacing w:after="40" w:line="252" w:lineRule="auto"/>
            </w:pPr>
            <w:r>
              <w:rPr>
                <w:b w:val="0"/>
                <w:i w:val="0"/>
                <w:sz w:val="16"/>
              </w:rPr>
              <w:t>Unabhängige Prüfung (Nicht-KMU)</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D</w:t>
            </w:r>
          </w:p>
        </w:tc>
      </w:tr>
      <w:tr>
        <w:tc>
          <w:tcPr>
            <w:tcW w:type="dxa" w:w="2494"/>
          </w:tcPr>
          <w:p>
            <w:pPr>
              <w:spacing w:after="40" w:line="252" w:lineRule="auto"/>
            </w:pPr>
            <w:r>
              <w:rPr>
                <w:b w:val="0"/>
                <w:i w:val="0"/>
                <w:sz w:val="16"/>
              </w:rPr>
              <w:t>Bericht veröffentlichen (Nicht-KMU)</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Schulung</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bl>
    <w:p>
      <w:pPr>
        <w:spacing w:after="40"/>
      </w:pPr>
    </w:p>
    <w:p>
      <w:r>
        <w:rPr>
          <w:b w:val="0"/>
          <w:i w:val="0"/>
          <w:sz w:val="16"/>
        </w:rPr>
        <w:t>GL Geschäftsleitung; CB Compliance-Beauftragter (Nicht-KMU); EK Einkauf; QN Qualität und Nachhaltigkeit; ZL Zoll und Logistik; LA Lager; VT Vertrieb; IT IT; PS Prüfstelle (Nicht-KMU).</w:t>
      </w:r>
    </w:p>
    <w:p>
      <w:r>
        <w:rPr>
          <w:b w:val="0"/>
          <w:i/>
          <w:sz w:val="17"/>
        </w:rPr>
        <w:t>Im Muster: GL Geschäftsführung; CB Compliance-Beauftragte (Leitung Qualität und Nachhaltigkeit); QN EUDR-Team; PS beauftragte Prüfgesellschaft. Die jährliche Überprüfung führt die Qualitätsmanagement-Beauftragte durch, die nicht in EUDR-Abläufen tätig ist.</w:t>
      </w:r>
    </w:p>
    <w:p>
      <w:pPr>
        <w:pStyle w:val="Heading2"/>
      </w:pPr>
      <w:r>
        <w:t>Anhang E: Maßnahmenkatalog Risikominderung</w:t>
      </w:r>
    </w:p>
    <w:p>
      <w:r>
        <w:rPr>
          <w:b w:val="0"/>
          <w:i w:val="0"/>
          <w:sz w:val="18"/>
        </w:rPr>
        <w:t>Maßnahmen je Kriterium mit Art nach Art. 11 Abs. 1 (a zusätzliche Informationen, b unabhängige Erhebungen oder Audits, c andere Maßnahmen zu Art. 9; Unterstützung von Lieferanten). Ein Katalog mit 37 Einträgen steht im Blatt 5 („Maßnahmenkatalog“) der Excel-Vorlage zur Risikobewertung, ein Maßnahmenplan im Blatt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624"/>
        <w:gridCol w:w="1701"/>
        <w:gridCol w:w="2381"/>
        <w:gridCol w:w="567"/>
        <w:gridCol w:w="1701"/>
        <w:gridCol w:w="1247"/>
        <w:gridCol w:w="1417"/>
      </w:tblGrid>
      <w:tr>
        <w:trPr>
          <w:tblHeader w:val="true"/>
        </w:trPr>
        <w:tc>
          <w:tcPr>
            <w:tcW w:type="dxa" w:w="624"/>
            <w:shd w:val="clear" w:color="auto" w:fill="D9E2EC"/>
          </w:tcPr>
          <w:p>
            <w:pPr>
              <w:spacing w:after="40" w:line="252" w:lineRule="auto"/>
            </w:pPr>
            <w:r>
              <w:rPr>
                <w:b/>
                <w:i w:val="0"/>
                <w:sz w:val="17"/>
              </w:rPr>
              <w:t>Nr.</w:t>
            </w:r>
          </w:p>
        </w:tc>
        <w:tc>
          <w:tcPr>
            <w:tcW w:type="dxa" w:w="1701"/>
            <w:shd w:val="clear" w:color="auto" w:fill="D9E2EC"/>
          </w:tcPr>
          <w:p>
            <w:pPr>
              <w:spacing w:after="40" w:line="252" w:lineRule="auto"/>
            </w:pPr>
            <w:r>
              <w:rPr>
                <w:b/>
                <w:i w:val="0"/>
                <w:sz w:val="17"/>
              </w:rPr>
              <w:t>Kriterium, Auslöser</w:t>
            </w:r>
          </w:p>
        </w:tc>
        <w:tc>
          <w:tcPr>
            <w:tcW w:type="dxa" w:w="2381"/>
            <w:shd w:val="clear" w:color="auto" w:fill="D9E2EC"/>
          </w:tcPr>
          <w:p>
            <w:pPr>
              <w:spacing w:after="40" w:line="252" w:lineRule="auto"/>
            </w:pPr>
            <w:r>
              <w:rPr>
                <w:b/>
                <w:i w:val="0"/>
                <w:sz w:val="17"/>
              </w:rPr>
              <w:t>Maßnahme</w:t>
            </w:r>
          </w:p>
        </w:tc>
        <w:tc>
          <w:tcPr>
            <w:tcW w:type="dxa" w:w="567"/>
            <w:shd w:val="clear" w:color="auto" w:fill="D9E2EC"/>
          </w:tcPr>
          <w:p>
            <w:pPr>
              <w:spacing w:after="40" w:line="252" w:lineRule="auto"/>
            </w:pPr>
            <w:r>
              <w:rPr>
                <w:b/>
                <w:i w:val="0"/>
                <w:sz w:val="17"/>
              </w:rPr>
              <w:t>Art</w:t>
            </w:r>
          </w:p>
        </w:tc>
        <w:tc>
          <w:tcPr>
            <w:tcW w:type="dxa" w:w="1701"/>
            <w:shd w:val="clear" w:color="auto" w:fill="D9E2EC"/>
          </w:tcPr>
          <w:p>
            <w:pPr>
              <w:spacing w:after="40" w:line="252" w:lineRule="auto"/>
            </w:pPr>
            <w:r>
              <w:rPr>
                <w:b/>
                <w:i w:val="0"/>
                <w:sz w:val="17"/>
              </w:rPr>
              <w:t>Nachweis</w:t>
            </w:r>
          </w:p>
        </w:tc>
        <w:tc>
          <w:tcPr>
            <w:tcW w:type="dxa" w:w="1247"/>
            <w:shd w:val="clear" w:color="auto" w:fill="D9E2EC"/>
          </w:tcPr>
          <w:p>
            <w:pPr>
              <w:spacing w:after="40" w:line="252" w:lineRule="auto"/>
            </w:pPr>
            <w:r>
              <w:rPr>
                <w:b/>
                <w:i w:val="0"/>
                <w:sz w:val="17"/>
              </w:rPr>
              <w:t>verantwortlich</w:t>
            </w:r>
          </w:p>
        </w:tc>
        <w:tc>
          <w:tcPr>
            <w:tcW w:type="dxa" w:w="1417"/>
            <w:shd w:val="clear" w:color="auto" w:fill="D9E2EC"/>
          </w:tcPr>
          <w:p>
            <w:pPr>
              <w:spacing w:after="40" w:line="252" w:lineRule="auto"/>
            </w:pPr>
            <w:r>
              <w:rPr>
                <w:b/>
                <w:i w:val="0"/>
                <w:sz w:val="17"/>
              </w:rPr>
              <w:t>Ergebnis danach</w:t>
            </w:r>
          </w:p>
        </w:tc>
      </w:tr>
      <w:tr>
        <w:tc>
          <w:tcPr>
            <w:tcW w:type="dxa" w:w="624"/>
          </w:tcPr>
          <w:p>
            <w:pPr>
              <w:spacing w:after="40" w:line="252" w:lineRule="auto"/>
            </w:pPr>
            <w:r>
              <w:rPr>
                <w:b w:val="0"/>
                <w:i w:val="0"/>
                <w:sz w:val="17"/>
              </w:rPr>
              <w:t>M-01</w:t>
            </w:r>
          </w:p>
        </w:tc>
        <w:tc>
          <w:tcPr>
            <w:tcW w:type="dxa" w:w="1701"/>
          </w:tcPr>
          <w:p>
            <w:pPr>
              <w:spacing w:after="40" w:line="252" w:lineRule="auto"/>
            </w:pPr>
            <w:r>
              <w:rPr>
                <w:b w:val="0"/>
                <w:i w:val="0"/>
                <w:sz w:val="17"/>
              </w:rPr>
              <w:t>j Vermischung (ID-2 kauft Restholz anderer Plantagen zu)</w:t>
            </w:r>
          </w:p>
        </w:tc>
        <w:tc>
          <w:tcPr>
            <w:tcW w:type="dxa" w:w="2381"/>
          </w:tcPr>
          <w:p>
            <w:pPr>
              <w:spacing w:after="40" w:line="252" w:lineRule="auto"/>
            </w:pPr>
            <w:r>
              <w:rPr>
                <w:b w:val="0"/>
                <w:i w:val="0"/>
                <w:sz w:val="17"/>
              </w:rPr>
              <w:t>Getrennte Lagerung, monatliche Mengenbilanz, Prüfung vor Ort durch die beauftragte Prüfgesellschaft</w:t>
            </w:r>
          </w:p>
        </w:tc>
        <w:tc>
          <w:tcPr>
            <w:tcW w:type="dxa" w:w="567"/>
          </w:tcPr>
          <w:p>
            <w:pPr>
              <w:spacing w:after="40" w:line="252" w:lineRule="auto"/>
            </w:pPr>
            <w:r>
              <w:rPr>
                <w:b w:val="0"/>
                <w:i w:val="0"/>
                <w:sz w:val="17"/>
              </w:rPr>
              <w:t>b, c</w:t>
            </w:r>
          </w:p>
        </w:tc>
        <w:tc>
          <w:tcPr>
            <w:tcW w:type="dxa" w:w="1701"/>
          </w:tcPr>
          <w:p>
            <w:pPr>
              <w:spacing w:after="40" w:line="252" w:lineRule="auto"/>
            </w:pPr>
            <w:r>
              <w:rPr>
                <w:b w:val="0"/>
                <w:i w:val="0"/>
                <w:sz w:val="17"/>
              </w:rPr>
              <w:t>Prüfbericht vom 24.11.2026, Mengenbilanzen</w:t>
            </w:r>
          </w:p>
        </w:tc>
        <w:tc>
          <w:tcPr>
            <w:tcW w:type="dxa" w:w="1247"/>
          </w:tcPr>
          <w:p>
            <w:pPr>
              <w:spacing w:after="40" w:line="252" w:lineRule="auto"/>
            </w:pPr>
            <w:r>
              <w:rPr>
                <w:b w:val="0"/>
                <w:i w:val="0"/>
                <w:sz w:val="17"/>
              </w:rPr>
              <w:t>EUDR-Team</w:t>
            </w:r>
          </w:p>
        </w:tc>
        <w:tc>
          <w:tcPr>
            <w:tcW w:type="dxa" w:w="1417"/>
          </w:tcPr>
          <w:p>
            <w:pPr>
              <w:spacing w:after="40" w:line="252" w:lineRule="auto"/>
            </w:pPr>
            <w:r>
              <w:rPr>
                <w:b w:val="0"/>
                <w:i w:val="0"/>
                <w:sz w:val="17"/>
              </w:rPr>
              <w:t>vernachlässigbar (26.11.2026)</w:t>
            </w:r>
          </w:p>
        </w:tc>
      </w:tr>
      <w:tr>
        <w:tc>
          <w:tcPr>
            <w:tcW w:type="dxa" w:w="624"/>
          </w:tcPr>
          <w:p>
            <w:pPr>
              <w:spacing w:after="40" w:line="252" w:lineRule="auto"/>
            </w:pPr>
            <w:r>
              <w:rPr>
                <w:b w:val="0"/>
                <w:i w:val="0"/>
                <w:sz w:val="17"/>
              </w:rPr>
              <w:t>M-02</w:t>
            </w:r>
          </w:p>
        </w:tc>
        <w:tc>
          <w:tcPr>
            <w:tcW w:type="dxa" w:w="1701"/>
          </w:tcPr>
          <w:p>
            <w:pPr>
              <w:spacing w:after="40" w:line="252" w:lineRule="auto"/>
            </w:pPr>
            <w:r>
              <w:rPr>
                <w:b w:val="0"/>
                <w:i w:val="0"/>
                <w:sz w:val="17"/>
              </w:rPr>
              <w:t>j Vermischung (VN-2: Holz unbekannter Herkunft auf derselben Linie)</w:t>
            </w:r>
          </w:p>
        </w:tc>
        <w:tc>
          <w:tcPr>
            <w:tcW w:type="dxa" w:w="2381"/>
          </w:tcPr>
          <w:p>
            <w:pPr>
              <w:spacing w:after="40" w:line="252" w:lineRule="auto"/>
            </w:pPr>
            <w:r>
              <w:rPr>
                <w:b w:val="0"/>
                <w:i w:val="0"/>
                <w:sz w:val="17"/>
              </w:rPr>
              <w:t>Art. 13 aufgehoben; getrennte Linie, monatliche Mengenbilanz, Werksbesuch nach drei Monaten</w:t>
            </w:r>
          </w:p>
        </w:tc>
        <w:tc>
          <w:tcPr>
            <w:tcW w:type="dxa" w:w="567"/>
          </w:tcPr>
          <w:p>
            <w:pPr>
              <w:spacing w:after="40" w:line="252" w:lineRule="auto"/>
            </w:pPr>
            <w:r>
              <w:rPr>
                <w:b w:val="0"/>
                <w:i w:val="0"/>
                <w:sz w:val="17"/>
              </w:rPr>
              <w:t>b, c</w:t>
            </w:r>
          </w:p>
        </w:tc>
        <w:tc>
          <w:tcPr>
            <w:tcW w:type="dxa" w:w="1701"/>
          </w:tcPr>
          <w:p>
            <w:pPr>
              <w:spacing w:after="40" w:line="252" w:lineRule="auto"/>
            </w:pPr>
            <w:r>
              <w:rPr>
                <w:b w:val="0"/>
                <w:i w:val="0"/>
                <w:sz w:val="17"/>
              </w:rPr>
              <w:t>Werksbericht vom 12.01.2027, Zusage des Herstellers</w:t>
            </w:r>
          </w:p>
        </w:tc>
        <w:tc>
          <w:tcPr>
            <w:tcW w:type="dxa" w:w="1247"/>
          </w:tcPr>
          <w:p>
            <w:pPr>
              <w:spacing w:after="40" w:line="252" w:lineRule="auto"/>
            </w:pPr>
            <w:r>
              <w:rPr>
                <w:b w:val="0"/>
                <w:i w:val="0"/>
                <w:sz w:val="17"/>
              </w:rPr>
              <w:t>EUDR-Team</w:t>
            </w:r>
          </w:p>
        </w:tc>
        <w:tc>
          <w:tcPr>
            <w:tcW w:type="dxa" w:w="1417"/>
          </w:tcPr>
          <w:p>
            <w:pPr>
              <w:spacing w:after="40" w:line="252" w:lineRule="auto"/>
            </w:pPr>
            <w:r>
              <w:rPr>
                <w:b w:val="0"/>
                <w:i w:val="0"/>
                <w:sz w:val="17"/>
              </w:rPr>
              <w:t>offen bis zum Nachweis der getrennten Linie; bis dahin keine Bestellung</w:t>
            </w:r>
          </w:p>
        </w:tc>
      </w:tr>
      <w:tr>
        <w:tc>
          <w:tcPr>
            <w:tcW w:type="dxa" w:w="624"/>
          </w:tcPr>
          <w:p>
            <w:pPr>
              <w:spacing w:after="40" w:line="252" w:lineRule="auto"/>
            </w:pPr>
            <w:r>
              <w:rPr>
                <w:b w:val="0"/>
                <w:i w:val="0"/>
                <w:sz w:val="17"/>
              </w:rPr>
              <w:t>M-03</w:t>
            </w:r>
          </w:p>
        </w:tc>
        <w:tc>
          <w:tcPr>
            <w:tcW w:type="dxa" w:w="1701"/>
          </w:tcPr>
          <w:p>
            <w:pPr>
              <w:spacing w:after="40" w:line="252" w:lineRule="auto"/>
            </w:pPr>
            <w:r>
              <w:rPr>
                <w:b w:val="0"/>
                <w:i w:val="0"/>
                <w:sz w:val="17"/>
              </w:rPr>
              <w:t>i und j (VN-3 kauft Holz aus Ländern mit Standardrisiko zu)</w:t>
            </w:r>
          </w:p>
        </w:tc>
        <w:tc>
          <w:tcPr>
            <w:tcW w:type="dxa" w:w="2381"/>
          </w:tcPr>
          <w:p>
            <w:pPr>
              <w:spacing w:after="40" w:line="252" w:lineRule="auto"/>
            </w:pPr>
            <w:r>
              <w:rPr>
                <w:b w:val="0"/>
                <w:i w:val="0"/>
                <w:sz w:val="17"/>
              </w:rPr>
              <w:t>Geodaten und Legalitätsnachweise des zugekauften Holzes anfordern, volle Bewertung</w:t>
            </w:r>
          </w:p>
        </w:tc>
        <w:tc>
          <w:tcPr>
            <w:tcW w:type="dxa" w:w="567"/>
          </w:tcPr>
          <w:p>
            <w:pPr>
              <w:spacing w:after="40" w:line="252" w:lineRule="auto"/>
            </w:pPr>
            <w:r>
              <w:rPr>
                <w:b w:val="0"/>
                <w:i w:val="0"/>
                <w:sz w:val="17"/>
              </w:rPr>
              <w:t>a</w:t>
            </w:r>
          </w:p>
        </w:tc>
        <w:tc>
          <w:tcPr>
            <w:tcW w:type="dxa" w:w="1701"/>
          </w:tcPr>
          <w:p>
            <w:pPr>
              <w:spacing w:after="40" w:line="252" w:lineRule="auto"/>
            </w:pPr>
            <w:r>
              <w:rPr>
                <w:b w:val="0"/>
                <w:i w:val="0"/>
                <w:sz w:val="17"/>
              </w:rPr>
              <w:t>Lieferantenakte VN-3</w:t>
            </w:r>
          </w:p>
        </w:tc>
        <w:tc>
          <w:tcPr>
            <w:tcW w:type="dxa" w:w="1247"/>
          </w:tcPr>
          <w:p>
            <w:pPr>
              <w:spacing w:after="40" w:line="252" w:lineRule="auto"/>
            </w:pPr>
            <w:r>
              <w:rPr>
                <w:b w:val="0"/>
                <w:i w:val="0"/>
                <w:sz w:val="17"/>
              </w:rPr>
              <w:t>Einkauf, EUDR-Team</w:t>
            </w:r>
          </w:p>
        </w:tc>
        <w:tc>
          <w:tcPr>
            <w:tcW w:type="dxa" w:w="1417"/>
          </w:tcPr>
          <w:p>
            <w:pPr>
              <w:spacing w:after="40" w:line="252" w:lineRule="auto"/>
            </w:pPr>
            <w:r>
              <w:rPr>
                <w:b w:val="0"/>
                <w:i w:val="0"/>
                <w:sz w:val="17"/>
              </w:rPr>
              <w:t>vernachlässigbar (08.12.2026)</w:t>
            </w:r>
          </w:p>
        </w:tc>
      </w:tr>
    </w:tbl>
    <w:p>
      <w:pPr>
        <w:spacing w:after="40"/>
      </w:pPr>
    </w:p>
    <w:p>
      <w:pPr>
        <w:pStyle w:val="Heading2"/>
      </w:pPr>
      <w:r>
        <w:t>Anhang F: Prüfprotokoll der jährlichen Überprüfung</w:t>
      </w:r>
    </w:p>
    <w:p>
      <w:r>
        <w:rPr>
          <w:b w:val="0"/>
          <w:i w:val="0"/>
          <w:sz w:val="18"/>
        </w:rPr>
        <w:t>Datum: 10.12.2026 (Prüfung vor der Erstfreigabe)   Prüfer: Qualitätsmanagement-Beauftragte   Unabhängigkeit: nicht in EUDR-Abläufen tätig</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2268"/>
        <w:gridCol w:w="1701"/>
        <w:gridCol w:w="1020"/>
        <w:gridCol w:w="1020"/>
      </w:tblGrid>
      <w:tr>
        <w:trPr>
          <w:tblHeader w:val="true"/>
        </w:trPr>
        <w:tc>
          <w:tcPr>
            <w:tcW w:type="dxa" w:w="3628"/>
            <w:shd w:val="clear" w:color="auto" w:fill="D9E2EC"/>
          </w:tcPr>
          <w:p>
            <w:pPr>
              <w:spacing w:after="40" w:line="252" w:lineRule="auto"/>
            </w:pPr>
            <w:r>
              <w:rPr>
                <w:b/>
                <w:i w:val="0"/>
                <w:sz w:val="17"/>
              </w:rPr>
              <w:t>Prüfpunkt</w:t>
            </w:r>
          </w:p>
        </w:tc>
        <w:tc>
          <w:tcPr>
            <w:tcW w:type="dxa" w:w="2268"/>
            <w:shd w:val="clear" w:color="auto" w:fill="D9E2EC"/>
          </w:tcPr>
          <w:p>
            <w:pPr>
              <w:spacing w:after="40" w:line="252" w:lineRule="auto"/>
            </w:pPr>
            <w:r>
              <w:rPr>
                <w:b/>
                <w:i w:val="0"/>
                <w:sz w:val="17"/>
              </w:rPr>
              <w:t>Ergebnis</w:t>
            </w:r>
          </w:p>
        </w:tc>
        <w:tc>
          <w:tcPr>
            <w:tcW w:type="dxa" w:w="1701"/>
            <w:shd w:val="clear" w:color="auto" w:fill="D9E2EC"/>
          </w:tcPr>
          <w:p>
            <w:pPr>
              <w:spacing w:after="40" w:line="252" w:lineRule="auto"/>
            </w:pPr>
            <w:r>
              <w:rPr>
                <w:b/>
                <w:i w:val="0"/>
                <w:sz w:val="17"/>
              </w:rPr>
              <w:t>Mangel</w:t>
            </w:r>
          </w:p>
        </w:tc>
        <w:tc>
          <w:tcPr>
            <w:tcW w:type="dxa" w:w="1020"/>
            <w:shd w:val="clear" w:color="auto" w:fill="D9E2EC"/>
          </w:tcPr>
          <w:p>
            <w:pPr>
              <w:spacing w:after="40" w:line="252" w:lineRule="auto"/>
            </w:pPr>
            <w:r>
              <w:rPr>
                <w:b/>
                <w:i w:val="0"/>
                <w:sz w:val="17"/>
              </w:rPr>
              <w:t>Frist</w:t>
            </w:r>
          </w:p>
        </w:tc>
        <w:tc>
          <w:tcPr>
            <w:tcW w:type="dxa" w:w="1020"/>
            <w:shd w:val="clear" w:color="auto" w:fill="D9E2EC"/>
          </w:tcPr>
          <w:p>
            <w:pPr>
              <w:spacing w:after="40" w:line="252" w:lineRule="auto"/>
            </w:pPr>
            <w:r>
              <w:rPr>
                <w:b/>
                <w:i w:val="0"/>
                <w:sz w:val="17"/>
              </w:rPr>
              <w:t>erledigt</w:t>
            </w:r>
          </w:p>
        </w:tc>
      </w:tr>
      <w:tr>
        <w:tc>
          <w:tcPr>
            <w:tcW w:type="dxa" w:w="3628"/>
          </w:tcPr>
          <w:p>
            <w:pPr>
              <w:spacing w:after="40" w:line="252" w:lineRule="auto"/>
            </w:pPr>
            <w:r>
              <w:rPr>
                <w:b w:val="0"/>
                <w:i w:val="0"/>
                <w:sz w:val="17"/>
              </w:rPr>
              <w:t>Dokumentierte Verfahren für Erhebung und Aufzeichnung der Informationen nach Art. 9 (Leitlinien Kap. 8)</w:t>
            </w:r>
          </w:p>
        </w:tc>
        <w:tc>
          <w:tcPr>
            <w:tcW w:type="dxa" w:w="2268"/>
          </w:tcPr>
          <w:p>
            <w:pPr>
              <w:spacing w:after="40" w:line="252" w:lineRule="auto"/>
            </w:pPr>
            <w:r>
              <w:rPr>
                <w:b w:val="0"/>
                <w:i w:val="0"/>
                <w:sz w:val="17"/>
              </w:rPr>
              <w:t>erfüllt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Risikobewertung je Erzeugnis und Bestandteil dokumentiert (Leitlinien Kap. 8)</w:t>
            </w:r>
          </w:p>
        </w:tc>
        <w:tc>
          <w:tcPr>
            <w:tcW w:type="dxa" w:w="2268"/>
          </w:tcPr>
          <w:p>
            <w:pPr>
              <w:spacing w:after="40" w:line="252" w:lineRule="auto"/>
            </w:pPr>
            <w:r>
              <w:rPr>
                <w:b w:val="0"/>
                <w:i w:val="0"/>
                <w:sz w:val="17"/>
              </w:rPr>
              <w:t>erfüllt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Maßnahmen je Risikostufe festgelegt (Leitlinien Kap. 8)</w:t>
            </w:r>
          </w:p>
        </w:tc>
        <w:tc>
          <w:tcPr>
            <w:tcW w:type="dxa" w:w="2268"/>
          </w:tcPr>
          <w:p>
            <w:pPr>
              <w:spacing w:after="40" w:line="252" w:lineRule="auto"/>
            </w:pPr>
            <w:r>
              <w:rPr>
                <w:b w:val="0"/>
                <w:i w:val="0"/>
                <w:sz w:val="17"/>
              </w:rPr>
              <w:t>erfüllt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Verantwortliche verstehen ihre Schritte und setzen sie um (Leitlinien Kap. 8)</w:t>
            </w:r>
          </w:p>
        </w:tc>
        <w:tc>
          <w:tcPr>
            <w:tcW w:type="dxa" w:w="2268"/>
          </w:tcPr>
          <w:p>
            <w:pPr>
              <w:spacing w:after="40" w:line="252" w:lineRule="auto"/>
            </w:pPr>
            <w:r>
              <w:rPr>
                <w:b w:val="0"/>
                <w:i w:val="0"/>
                <w:sz w:val="17"/>
              </w:rPr>
              <w:t>teilweise: Lager kennt den Status „EUDR frei“, Schulungsnachweis Lager unvollständig</w:t>
            </w:r>
          </w:p>
        </w:tc>
        <w:tc>
          <w:tcPr>
            <w:tcW w:type="dxa" w:w="1701"/>
          </w:tcPr>
          <w:p>
            <w:pPr>
              <w:spacing w:after="40" w:line="252" w:lineRule="auto"/>
            </w:pPr>
            <w:r>
              <w:rPr>
                <w:b w:val="0"/>
                <w:i w:val="0"/>
                <w:sz w:val="17"/>
              </w:rPr>
              <w:t>Schulungsnachweis Lager unvollständig</w:t>
            </w:r>
          </w:p>
        </w:tc>
        <w:tc>
          <w:tcPr>
            <w:tcW w:type="dxa" w:w="1020"/>
          </w:tcPr>
          <w:p>
            <w:pPr>
              <w:spacing w:after="40" w:line="252" w:lineRule="auto"/>
            </w:pPr>
            <w:r>
              <w:rPr>
                <w:b w:val="0"/>
                <w:i w:val="0"/>
                <w:sz w:val="17"/>
              </w:rPr>
              <w:t>18.12.2026</w:t>
            </w:r>
          </w:p>
        </w:tc>
        <w:tc>
          <w:tcPr>
            <w:tcW w:type="dxa" w:w="1020"/>
          </w:tcPr>
          <w:p>
            <w:pPr>
              <w:spacing w:after="40" w:line="252" w:lineRule="auto"/>
            </w:pPr>
            <w:r>
              <w:rPr>
                <w:b w:val="0"/>
                <w:i w:val="0"/>
                <w:sz w:val="17"/>
              </w:rPr>
              <w:t>17.12.2026</w:t>
            </w:r>
          </w:p>
        </w:tc>
      </w:tr>
      <w:tr>
        <w:tc>
          <w:tcPr>
            <w:tcW w:type="dxa" w:w="3628"/>
          </w:tcPr>
          <w:p>
            <w:pPr>
              <w:spacing w:after="40" w:line="252" w:lineRule="auto"/>
            </w:pPr>
            <w:r>
              <w:rPr>
                <w:b w:val="0"/>
                <w:i w:val="0"/>
                <w:sz w:val="17"/>
              </w:rPr>
              <w:t>Kontrollen stellen sicher, dass Erzeugnisse mit nicht vernachlässigbarem Risiko ausgeschlossen werden (Leitlinien Kap. 8)</w:t>
            </w:r>
          </w:p>
        </w:tc>
        <w:tc>
          <w:tcPr>
            <w:tcW w:type="dxa" w:w="2268"/>
          </w:tcPr>
          <w:p>
            <w:pPr>
              <w:spacing w:after="40" w:line="252" w:lineRule="auto"/>
            </w:pPr>
            <w:r>
              <w:rPr>
                <w:b w:val="0"/>
                <w:i w:val="0"/>
                <w:sz w:val="17"/>
              </w:rPr>
              <w:t>erfüllt (Sperre im Warenwirtschaftssystem getestet)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Änderungsprotokoll vollständig, Auslöser seit der letzten Überprüfung abgearbeitet (Art. 12 Abs. 2)</w:t>
            </w:r>
          </w:p>
        </w:tc>
        <w:tc>
          <w:tcPr>
            <w:tcW w:type="dxa" w:w="2268"/>
          </w:tcPr>
          <w:p>
            <w:pPr>
              <w:spacing w:after="40" w:line="252" w:lineRule="auto"/>
            </w:pPr>
            <w:r>
              <w:rPr>
                <w:b w:val="0"/>
                <w:i w:val="0"/>
                <w:sz w:val="17"/>
              </w:rPr>
              <w:t>erfüllt (Erstfassung)</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Stichproben und Befunde der Prüfstelle ausgewertet (Baustein 10)</w:t>
            </w:r>
          </w:p>
        </w:tc>
        <w:tc>
          <w:tcPr>
            <w:tcW w:type="dxa" w:w="2268"/>
          </w:tcPr>
          <w:p>
            <w:pPr>
              <w:spacing w:after="40" w:line="252" w:lineRule="auto"/>
            </w:pPr>
            <w:r>
              <w:rPr>
                <w:b w:val="0"/>
                <w:i w:val="0"/>
                <w:sz w:val="17"/>
              </w:rPr>
              <w:t>entfällt (noch keine Stichprobe)</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Schulungen durchgeführt und nachgewiesen (Anhang H)</w:t>
            </w:r>
          </w:p>
        </w:tc>
        <w:tc>
          <w:tcPr>
            <w:tcW w:type="dxa" w:w="2268"/>
          </w:tcPr>
          <w:p>
            <w:pPr>
              <w:spacing w:after="40" w:line="252" w:lineRule="auto"/>
            </w:pPr>
            <w:r>
              <w:rPr>
                <w:b w:val="0"/>
                <w:i w:val="0"/>
                <w:sz w:val="17"/>
              </w:rPr>
              <w:t>teilweise (siehe Punkt 4)</w:t>
            </w:r>
          </w:p>
        </w:tc>
        <w:tc>
          <w:tcPr>
            <w:tcW w:type="dxa" w:w="1701"/>
          </w:tcPr>
          <w:p>
            <w:pPr>
              <w:spacing w:after="40" w:line="252" w:lineRule="auto"/>
            </w:pPr>
            <w:r>
              <w:rPr>
                <w:b w:val="0"/>
                <w:i w:val="0"/>
                <w:sz w:val="17"/>
              </w:rPr>
              <w:t>wie Punkt 4</w:t>
            </w:r>
          </w:p>
        </w:tc>
        <w:tc>
          <w:tcPr>
            <w:tcW w:type="dxa" w:w="1020"/>
          </w:tcPr>
          <w:p>
            <w:pPr>
              <w:spacing w:after="40" w:line="252" w:lineRule="auto"/>
            </w:pPr>
            <w:r>
              <w:rPr>
                <w:b w:val="0"/>
                <w:i w:val="0"/>
                <w:sz w:val="17"/>
              </w:rPr>
              <w:t>18.12.2026</w:t>
            </w:r>
          </w:p>
        </w:tc>
        <w:tc>
          <w:tcPr>
            <w:tcW w:type="dxa" w:w="1020"/>
          </w:tcPr>
          <w:p>
            <w:pPr>
              <w:spacing w:after="40" w:line="252" w:lineRule="auto"/>
            </w:pPr>
            <w:r>
              <w:rPr>
                <w:b w:val="0"/>
                <w:i w:val="0"/>
                <w:sz w:val="17"/>
              </w:rPr>
              <w:t>17.12.2026</w:t>
            </w:r>
          </w:p>
        </w:tc>
      </w:tr>
      <w:tr>
        <w:tc>
          <w:tcPr>
            <w:tcW w:type="dxa" w:w="3628"/>
          </w:tcPr>
          <w:p>
            <w:pPr>
              <w:spacing w:after="40" w:line="252" w:lineRule="auto"/>
            </w:pPr>
            <w:r>
              <w:rPr>
                <w:b w:val="0"/>
                <w:i w:val="0"/>
                <w:sz w:val="17"/>
              </w:rPr>
              <w:t>Schritte und Ergebnis dieser Überprüfung dokumentiert (Leitlinien Kap. 8)</w:t>
            </w:r>
          </w:p>
        </w:tc>
        <w:tc>
          <w:tcPr>
            <w:tcW w:type="dxa" w:w="2268"/>
          </w:tcPr>
          <w:p>
            <w:pPr>
              <w:spacing w:after="40" w:line="252" w:lineRule="auto"/>
            </w:pPr>
            <w:r>
              <w:rPr>
                <w:b w:val="0"/>
                <w:i w:val="0"/>
                <w:sz w:val="17"/>
              </w:rPr>
              <w:t>erfüllt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bl>
    <w:p>
      <w:pPr>
        <w:spacing w:after="40"/>
      </w:pPr>
    </w:p>
    <w:p>
      <w:pPr>
        <w:pStyle w:val="Heading2"/>
      </w:pPr>
      <w:r>
        <w:t>Anhang G: Gliederung des öffentlichen Berichts (nur Nicht-KMU)</w:t>
      </w:r>
    </w:p>
    <w:p>
      <w:r>
        <w:rPr>
          <w:b w:val="0"/>
          <w:i w:val="0"/>
          <w:sz w:val="18"/>
        </w:rPr>
        <w:t>Erster Bericht für das Jahr 2027, veröffentlicht nach dem 30.12.2027 (Kommissions-FAQ 5.14). Datenschutz geht vor; Lieferantennamen sind kein Pflichtinhalt.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67"/>
        <w:gridCol w:w="4535"/>
        <w:gridCol w:w="4535"/>
      </w:tblGrid>
      <w:tr>
        <w:trPr>
          <w:tblHeader w:val="true"/>
        </w:trPr>
        <w:tc>
          <w:tcPr>
            <w:tcW w:type="dxa" w:w="567"/>
            <w:shd w:val="clear" w:color="auto" w:fill="D9E2EC"/>
          </w:tcPr>
          <w:p>
            <w:pPr>
              <w:spacing w:after="40" w:line="252" w:lineRule="auto"/>
            </w:pPr>
            <w:r>
              <w:rPr>
                <w:b/>
                <w:i w:val="0"/>
                <w:sz w:val="17"/>
              </w:rPr>
              <w:t>Nr.</w:t>
            </w:r>
          </w:p>
        </w:tc>
        <w:tc>
          <w:tcPr>
            <w:tcW w:type="dxa" w:w="4535"/>
            <w:shd w:val="clear" w:color="auto" w:fill="D9E2EC"/>
          </w:tcPr>
          <w:p>
            <w:pPr>
              <w:spacing w:after="40" w:line="252" w:lineRule="auto"/>
            </w:pPr>
            <w:r>
              <w:rPr>
                <w:b/>
                <w:i w:val="0"/>
                <w:sz w:val="17"/>
              </w:rPr>
              <w:t>Abschnitt des Berichts</w:t>
            </w:r>
          </w:p>
        </w:tc>
        <w:tc>
          <w:tcPr>
            <w:tcW w:type="dxa" w:w="4535"/>
            <w:shd w:val="clear" w:color="auto" w:fill="D9E2EC"/>
          </w:tcPr>
          <w:p>
            <w:pPr>
              <w:spacing w:after="40" w:line="252" w:lineRule="auto"/>
            </w:pPr>
            <w:r>
              <w:rPr>
                <w:b/>
                <w:i w:val="0"/>
                <w:sz w:val="17"/>
              </w:rPr>
              <w:t>Inhalt im Berichtsjahr</w:t>
            </w:r>
          </w:p>
        </w:tc>
      </w:tr>
      <w:tr>
        <w:tc>
          <w:tcPr>
            <w:tcW w:type="dxa" w:w="567"/>
          </w:tcPr>
          <w:p>
            <w:pPr>
              <w:spacing w:after="40" w:line="252" w:lineRule="auto"/>
            </w:pPr>
            <w:r>
              <w:rPr>
                <w:b w:val="0"/>
                <w:i w:val="0"/>
                <w:sz w:val="17"/>
              </w:rPr>
              <w:t>1</w:t>
            </w:r>
          </w:p>
        </w:tc>
        <w:tc>
          <w:tcPr>
            <w:tcW w:type="dxa" w:w="4535"/>
          </w:tcPr>
          <w:p>
            <w:pPr>
              <w:spacing w:after="40" w:line="252" w:lineRule="auto"/>
            </w:pPr>
            <w:r>
              <w:rPr>
                <w:b w:val="0"/>
                <w:i w:val="0"/>
                <w:sz w:val="17"/>
              </w:rPr>
              <w:t>Unternehmen und Berichtsjahr</w:t>
            </w:r>
          </w:p>
        </w:tc>
        <w:tc>
          <w:tcPr>
            <w:tcW w:type="dxa" w:w="4535"/>
          </w:tcPr>
          <w:p>
            <w:pPr>
              <w:spacing w:after="40" w:line="252" w:lineRule="auto"/>
            </w:pPr>
            <w:r>
              <w:rPr>
                <w:b w:val="0"/>
                <w:i w:val="0"/>
                <w:sz w:val="17"/>
              </w:rPr>
              <w:t>Muster Holz &amp; Möbel GmbH, Berichtsjahr 2027</w:t>
            </w:r>
          </w:p>
        </w:tc>
      </w:tr>
      <w:tr>
        <w:tc>
          <w:tcPr>
            <w:tcW w:type="dxa" w:w="567"/>
          </w:tcPr>
          <w:p>
            <w:pPr>
              <w:spacing w:after="40" w:line="252" w:lineRule="auto"/>
            </w:pPr>
            <w:r>
              <w:rPr>
                <w:b w:val="0"/>
                <w:i w:val="0"/>
                <w:sz w:val="17"/>
              </w:rPr>
              <w:t>2</w:t>
            </w:r>
          </w:p>
        </w:tc>
        <w:tc>
          <w:tcPr>
            <w:tcW w:type="dxa" w:w="4535"/>
          </w:tcPr>
          <w:p>
            <w:pPr>
              <w:spacing w:after="40" w:line="252" w:lineRule="auto"/>
            </w:pPr>
            <w:r>
              <w:rPr>
                <w:b w:val="0"/>
                <w:i w:val="0"/>
                <w:sz w:val="17"/>
              </w:rPr>
              <w:t>Sorgfaltspflichtregelung und Änderungen im Berichtsjahr (Art. 12 Abs. 3)</w:t>
            </w:r>
          </w:p>
        </w:tc>
        <w:tc>
          <w:tcPr>
            <w:tcW w:type="dxa" w:w="4535"/>
          </w:tcPr>
          <w:p>
            <w:pPr>
              <w:spacing w:after="40" w:line="252" w:lineRule="auto"/>
            </w:pPr>
            <w:r>
              <w:rPr>
                <w:b w:val="0"/>
                <w:i w:val="0"/>
                <w:sz w:val="17"/>
              </w:rPr>
              <w:t>Regelung in Version 1.1 und folgende, Zusammenfassung der Änderungen</w:t>
            </w:r>
          </w:p>
        </w:tc>
      </w:tr>
      <w:tr>
        <w:tc>
          <w:tcPr>
            <w:tcW w:type="dxa" w:w="567"/>
          </w:tcPr>
          <w:p>
            <w:pPr>
              <w:spacing w:after="40" w:line="252" w:lineRule="auto"/>
            </w:pPr>
            <w:r>
              <w:rPr>
                <w:b w:val="0"/>
                <w:i w:val="0"/>
                <w:sz w:val="17"/>
              </w:rPr>
              <w:t>3</w:t>
            </w:r>
          </w:p>
        </w:tc>
        <w:tc>
          <w:tcPr>
            <w:tcW w:type="dxa" w:w="4535"/>
          </w:tcPr>
          <w:p>
            <w:pPr>
              <w:spacing w:after="40" w:line="252" w:lineRule="auto"/>
            </w:pPr>
            <w:r>
              <w:rPr>
                <w:b w:val="0"/>
                <w:i w:val="0"/>
                <w:sz w:val="17"/>
              </w:rPr>
              <w:t>Erzeugnisse, Mengen und Erzeugerländer, zusammengefasst (Art. 12 Abs. 4 Buchst. a mit Art. 9 Abs. 1 Buchst. a bis c)</w:t>
            </w:r>
          </w:p>
        </w:tc>
        <w:tc>
          <w:tcPr>
            <w:tcW w:type="dxa" w:w="4535"/>
          </w:tcPr>
          <w:p>
            <w:pPr>
              <w:spacing w:after="40" w:line="252" w:lineRule="auto"/>
            </w:pPr>
            <w:r>
              <w:rPr>
                <w:b w:val="0"/>
                <w:i w:val="0"/>
                <w:sz w:val="17"/>
              </w:rPr>
              <w:t>Gartenmöbel aus Teak (Indonesien), Kommoden und Regale (Vietnam), Mengen je Erzeugnisgruppe</w:t>
            </w:r>
          </w:p>
        </w:tc>
      </w:tr>
      <w:tr>
        <w:tc>
          <w:tcPr>
            <w:tcW w:type="dxa" w:w="567"/>
          </w:tcPr>
          <w:p>
            <w:pPr>
              <w:spacing w:after="40" w:line="252" w:lineRule="auto"/>
            </w:pPr>
            <w:r>
              <w:rPr>
                <w:b w:val="0"/>
                <w:i w:val="0"/>
                <w:sz w:val="17"/>
              </w:rPr>
              <w:t>4</w:t>
            </w:r>
          </w:p>
        </w:tc>
        <w:tc>
          <w:tcPr>
            <w:tcW w:type="dxa" w:w="4535"/>
          </w:tcPr>
          <w:p>
            <w:pPr>
              <w:spacing w:after="40" w:line="252" w:lineRule="auto"/>
            </w:pPr>
            <w:r>
              <w:rPr>
                <w:b w:val="0"/>
                <w:i w:val="0"/>
                <w:sz w:val="17"/>
              </w:rPr>
              <w:t>Schlussfolgerungen der Risikobewertung und ergriffene Maßnahmen nach Art. 11 (Art. 12 Abs. 4 Buchst. b)</w:t>
            </w:r>
          </w:p>
        </w:tc>
        <w:tc>
          <w:tcPr>
            <w:tcW w:type="dxa" w:w="4535"/>
          </w:tcPr>
          <w:p>
            <w:pPr>
              <w:spacing w:after="40" w:line="252" w:lineRule="auto"/>
            </w:pPr>
            <w:r>
              <w:rPr>
                <w:b w:val="0"/>
                <w:i w:val="0"/>
                <w:sz w:val="17"/>
              </w:rPr>
              <w:t>Ergebnisse je Beschaffungsweg; Maßnahmen M-01 bis M-03 in Kurzform</w:t>
            </w:r>
          </w:p>
        </w:tc>
      </w:tr>
      <w:tr>
        <w:tc>
          <w:tcPr>
            <w:tcW w:type="dxa" w:w="567"/>
          </w:tcPr>
          <w:p>
            <w:pPr>
              <w:spacing w:after="40" w:line="252" w:lineRule="auto"/>
            </w:pPr>
            <w:r>
              <w:rPr>
                <w:b w:val="0"/>
                <w:i w:val="0"/>
                <w:sz w:val="17"/>
              </w:rPr>
              <w:t>5</w:t>
            </w:r>
          </w:p>
        </w:tc>
        <w:tc>
          <w:tcPr>
            <w:tcW w:type="dxa" w:w="4535"/>
          </w:tcPr>
          <w:p>
            <w:pPr>
              <w:spacing w:after="40" w:line="252" w:lineRule="auto"/>
            </w:pPr>
            <w:r>
              <w:rPr>
                <w:b w:val="0"/>
                <w:i w:val="0"/>
                <w:sz w:val="17"/>
              </w:rPr>
              <w:t>Für die Risikobewertung erlangte und verwendete Informationen und Nachweise (Art. 12 Abs. 4 Buchst. b)</w:t>
            </w:r>
          </w:p>
        </w:tc>
        <w:tc>
          <w:tcPr>
            <w:tcW w:type="dxa" w:w="4535"/>
          </w:tcPr>
          <w:p>
            <w:pPr>
              <w:spacing w:after="40" w:line="252" w:lineRule="auto"/>
            </w:pPr>
            <w:r>
              <w:rPr>
                <w:b w:val="0"/>
                <w:i w:val="0"/>
                <w:sz w:val="17"/>
              </w:rPr>
              <w:t>Geodaten, FLEGT-Genehmigungen, Werksbesuche, Satellitenauswertung</w:t>
            </w:r>
          </w:p>
        </w:tc>
      </w:tr>
      <w:tr>
        <w:tc>
          <w:tcPr>
            <w:tcW w:type="dxa" w:w="567"/>
          </w:tcPr>
          <w:p>
            <w:pPr>
              <w:spacing w:after="40" w:line="252" w:lineRule="auto"/>
            </w:pPr>
            <w:r>
              <w:rPr>
                <w:b w:val="0"/>
                <w:i w:val="0"/>
                <w:sz w:val="17"/>
              </w:rPr>
              <w:t>6</w:t>
            </w:r>
          </w:p>
        </w:tc>
        <w:tc>
          <w:tcPr>
            <w:tcW w:type="dxa" w:w="4535"/>
          </w:tcPr>
          <w:p>
            <w:pPr>
              <w:spacing w:after="40" w:line="252" w:lineRule="auto"/>
            </w:pPr>
            <w:r>
              <w:rPr>
                <w:b w:val="0"/>
                <w:i w:val="0"/>
                <w:sz w:val="17"/>
              </w:rPr>
              <w:t>Konsultation indigener Völker, lokaler Gemeinschaften, anderer Inhaber gewohnheitsmäßiger Landrechte oder der Zivilgesellschaft, falls zutreffend (Art. 12 Abs. 4 Buchst. c)</w:t>
            </w:r>
          </w:p>
        </w:tc>
        <w:tc>
          <w:tcPr>
            <w:tcW w:type="dxa" w:w="4535"/>
          </w:tcPr>
          <w:p>
            <w:pPr>
              <w:spacing w:after="40" w:line="252" w:lineRule="auto"/>
            </w:pPr>
            <w:r>
              <w:rPr>
                <w:b w:val="0"/>
                <w:i w:val="0"/>
                <w:sz w:val="17"/>
              </w:rPr>
              <w:t>Keine eigenen Konsultationen; Angabe, ob Lieferanten solche durchgeführt haben</w:t>
            </w:r>
          </w:p>
        </w:tc>
      </w:tr>
      <w:tr>
        <w:tc>
          <w:tcPr>
            <w:tcW w:type="dxa" w:w="567"/>
          </w:tcPr>
          <w:p>
            <w:pPr>
              <w:spacing w:after="40" w:line="252" w:lineRule="auto"/>
            </w:pPr>
            <w:r>
              <w:rPr>
                <w:b w:val="0"/>
                <w:i w:val="0"/>
                <w:sz w:val="17"/>
              </w:rPr>
              <w:t>7</w:t>
            </w:r>
          </w:p>
        </w:tc>
        <w:tc>
          <w:tcPr>
            <w:tcW w:type="dxa" w:w="4535"/>
          </w:tcPr>
          <w:p>
            <w:pPr>
              <w:spacing w:after="40" w:line="252" w:lineRule="auto"/>
            </w:pPr>
            <w:r>
              <w:rPr>
                <w:b w:val="0"/>
                <w:i w:val="0"/>
                <w:sz w:val="17"/>
              </w:rPr>
              <w:t>Kontakt für Rückfragen</w:t>
            </w:r>
          </w:p>
        </w:tc>
        <w:tc>
          <w:tcPr>
            <w:tcW w:type="dxa" w:w="4535"/>
          </w:tcPr>
          <w:p>
            <w:pPr>
              <w:spacing w:after="40" w:line="252" w:lineRule="auto"/>
            </w:pPr>
            <w:r>
              <w:rPr>
                <w:b w:val="0"/>
                <w:i w:val="0"/>
                <w:sz w:val="17"/>
              </w:rPr>
              <w:t>Compliance-Beauftragte über das zentrale Postfach</w:t>
            </w:r>
          </w:p>
        </w:tc>
      </w:tr>
    </w:tbl>
    <w:p>
      <w:pPr>
        <w:spacing w:after="40"/>
      </w:pPr>
    </w:p>
    <w:p>
      <w:pPr>
        <w:pStyle w:val="Heading2"/>
      </w:pPr>
      <w:r>
        <w:t>Anhang H: Schulungsnachweis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247"/>
        <w:gridCol w:w="1587"/>
        <w:gridCol w:w="2608"/>
        <w:gridCol w:w="907"/>
        <w:gridCol w:w="1814"/>
        <w:gridCol w:w="1474"/>
      </w:tblGrid>
      <w:tr>
        <w:trPr>
          <w:tblHeader w:val="true"/>
        </w:trPr>
        <w:tc>
          <w:tcPr>
            <w:tcW w:type="dxa" w:w="1247"/>
            <w:shd w:val="clear" w:color="auto" w:fill="D9E2EC"/>
          </w:tcPr>
          <w:p>
            <w:pPr>
              <w:spacing w:after="40" w:line="252" w:lineRule="auto"/>
            </w:pPr>
            <w:r>
              <w:rPr>
                <w:b/>
                <w:i w:val="0"/>
                <w:sz w:val="17"/>
              </w:rPr>
              <w:t>Datum</w:t>
            </w:r>
          </w:p>
        </w:tc>
        <w:tc>
          <w:tcPr>
            <w:tcW w:type="dxa" w:w="1587"/>
            <w:shd w:val="clear" w:color="auto" w:fill="D9E2EC"/>
          </w:tcPr>
          <w:p>
            <w:pPr>
              <w:spacing w:after="40" w:line="252" w:lineRule="auto"/>
            </w:pPr>
            <w:r>
              <w:rPr>
                <w:b/>
                <w:i w:val="0"/>
                <w:sz w:val="17"/>
              </w:rPr>
              <w:t>Zielgruppe</w:t>
            </w:r>
          </w:p>
        </w:tc>
        <w:tc>
          <w:tcPr>
            <w:tcW w:type="dxa" w:w="2608"/>
            <w:shd w:val="clear" w:color="auto" w:fill="D9E2EC"/>
          </w:tcPr>
          <w:p>
            <w:pPr>
              <w:spacing w:after="40" w:line="252" w:lineRule="auto"/>
            </w:pPr>
            <w:r>
              <w:rPr>
                <w:b/>
                <w:i w:val="0"/>
                <w:sz w:val="17"/>
              </w:rPr>
              <w:t>Inhalt</w:t>
            </w:r>
          </w:p>
        </w:tc>
        <w:tc>
          <w:tcPr>
            <w:tcW w:type="dxa" w:w="907"/>
            <w:shd w:val="clear" w:color="auto" w:fill="D9E2EC"/>
          </w:tcPr>
          <w:p>
            <w:pPr>
              <w:spacing w:after="40" w:line="252" w:lineRule="auto"/>
            </w:pPr>
            <w:r>
              <w:rPr>
                <w:b/>
                <w:i w:val="0"/>
                <w:sz w:val="17"/>
              </w:rPr>
              <w:t>Dauer</w:t>
            </w:r>
          </w:p>
        </w:tc>
        <w:tc>
          <w:tcPr>
            <w:tcW w:type="dxa" w:w="1814"/>
            <w:shd w:val="clear" w:color="auto" w:fill="D9E2EC"/>
          </w:tcPr>
          <w:p>
            <w:pPr>
              <w:spacing w:after="40" w:line="252" w:lineRule="auto"/>
            </w:pPr>
            <w:r>
              <w:rPr>
                <w:b/>
                <w:i w:val="0"/>
                <w:sz w:val="17"/>
              </w:rPr>
              <w:t>Teilnehmende</w:t>
            </w:r>
          </w:p>
        </w:tc>
        <w:tc>
          <w:tcPr>
            <w:tcW w:type="dxa" w:w="1474"/>
            <w:shd w:val="clear" w:color="auto" w:fill="D9E2EC"/>
          </w:tcPr>
          <w:p>
            <w:pPr>
              <w:spacing w:after="40" w:line="252" w:lineRule="auto"/>
            </w:pPr>
            <w:r>
              <w:rPr>
                <w:b/>
                <w:i w:val="0"/>
                <w:sz w:val="17"/>
              </w:rPr>
              <w:t>durchgeführt von</w:t>
            </w:r>
          </w:p>
        </w:tc>
      </w:tr>
      <w:tr>
        <w:tc>
          <w:tcPr>
            <w:tcW w:type="dxa" w:w="1247"/>
          </w:tcPr>
          <w:p>
            <w:pPr>
              <w:spacing w:after="40" w:line="252" w:lineRule="auto"/>
            </w:pPr>
            <w:r>
              <w:rPr>
                <w:b w:val="0"/>
                <w:i w:val="0"/>
                <w:sz w:val="17"/>
              </w:rPr>
              <w:t>17.11.2026</w:t>
            </w:r>
          </w:p>
        </w:tc>
        <w:tc>
          <w:tcPr>
            <w:tcW w:type="dxa" w:w="1587"/>
          </w:tcPr>
          <w:p>
            <w:pPr>
              <w:spacing w:after="40" w:line="252" w:lineRule="auto"/>
            </w:pPr>
            <w:r>
              <w:rPr>
                <w:b w:val="0"/>
                <w:i w:val="0"/>
                <w:sz w:val="17"/>
              </w:rPr>
              <w:t>Einkauf</w:t>
            </w:r>
          </w:p>
        </w:tc>
        <w:tc>
          <w:tcPr>
            <w:tcW w:type="dxa" w:w="2608"/>
          </w:tcPr>
          <w:p>
            <w:pPr>
              <w:spacing w:after="40" w:line="252" w:lineRule="auto"/>
            </w:pPr>
            <w:r>
              <w:rPr>
                <w:b w:val="0"/>
                <w:i w:val="0"/>
                <w:sz w:val="17"/>
              </w:rPr>
              <w:t>Rollen, Lieferantenabfrage, Lücken, Sperre</w:t>
            </w:r>
          </w:p>
        </w:tc>
        <w:tc>
          <w:tcPr>
            <w:tcW w:type="dxa" w:w="907"/>
          </w:tcPr>
          <w:p>
            <w:pPr>
              <w:spacing w:after="40" w:line="252" w:lineRule="auto"/>
            </w:pPr>
            <w:r>
              <w:rPr>
                <w:b w:val="0"/>
                <w:i w:val="0"/>
                <w:sz w:val="17"/>
              </w:rPr>
              <w:t>2 Stunden</w:t>
            </w:r>
          </w:p>
        </w:tc>
        <w:tc>
          <w:tcPr>
            <w:tcW w:type="dxa" w:w="1814"/>
          </w:tcPr>
          <w:p>
            <w:pPr>
              <w:spacing w:after="40" w:line="252" w:lineRule="auto"/>
            </w:pPr>
            <w:r>
              <w:rPr>
                <w:b w:val="0"/>
                <w:i w:val="0"/>
                <w:sz w:val="17"/>
              </w:rPr>
              <w:t>6 Personen (Liste in der Akte)</w:t>
            </w:r>
          </w:p>
        </w:tc>
        <w:tc>
          <w:tcPr>
            <w:tcW w:type="dxa" w:w="1474"/>
          </w:tcPr>
          <w:p>
            <w:pPr>
              <w:spacing w:after="40" w:line="252" w:lineRule="auto"/>
            </w:pPr>
            <w:r>
              <w:rPr>
                <w:b w:val="0"/>
                <w:i w:val="0"/>
                <w:sz w:val="17"/>
              </w:rPr>
              <w:t>Compliance-Beauftragte</w:t>
            </w:r>
          </w:p>
        </w:tc>
      </w:tr>
      <w:tr>
        <w:tc>
          <w:tcPr>
            <w:tcW w:type="dxa" w:w="1247"/>
          </w:tcPr>
          <w:p>
            <w:pPr>
              <w:spacing w:after="40" w:line="252" w:lineRule="auto"/>
            </w:pPr>
            <w:r>
              <w:rPr>
                <w:b w:val="0"/>
                <w:i w:val="0"/>
                <w:sz w:val="17"/>
              </w:rPr>
              <w:t>18.11.2026</w:t>
            </w:r>
          </w:p>
        </w:tc>
        <w:tc>
          <w:tcPr>
            <w:tcW w:type="dxa" w:w="1587"/>
          </w:tcPr>
          <w:p>
            <w:pPr>
              <w:spacing w:after="40" w:line="252" w:lineRule="auto"/>
            </w:pPr>
            <w:r>
              <w:rPr>
                <w:b w:val="0"/>
                <w:i w:val="0"/>
                <w:sz w:val="17"/>
              </w:rPr>
              <w:t>Lager</w:t>
            </w:r>
          </w:p>
        </w:tc>
        <w:tc>
          <w:tcPr>
            <w:tcW w:type="dxa" w:w="2608"/>
          </w:tcPr>
          <w:p>
            <w:pPr>
              <w:spacing w:after="40" w:line="252" w:lineRule="auto"/>
            </w:pPr>
            <w:r>
              <w:rPr>
                <w:b w:val="0"/>
                <w:i w:val="0"/>
                <w:sz w:val="17"/>
              </w:rPr>
              <w:t>Status „EUDR frei“, Trennung, Altbestand, Probenahme</w:t>
            </w:r>
          </w:p>
        </w:tc>
        <w:tc>
          <w:tcPr>
            <w:tcW w:type="dxa" w:w="907"/>
          </w:tcPr>
          <w:p>
            <w:pPr>
              <w:spacing w:after="40" w:line="252" w:lineRule="auto"/>
            </w:pPr>
            <w:r>
              <w:rPr>
                <w:b w:val="0"/>
                <w:i w:val="0"/>
                <w:sz w:val="17"/>
              </w:rPr>
              <w:t>1 Stunde</w:t>
            </w:r>
          </w:p>
        </w:tc>
        <w:tc>
          <w:tcPr>
            <w:tcW w:type="dxa" w:w="1814"/>
          </w:tcPr>
          <w:p>
            <w:pPr>
              <w:spacing w:after="40" w:line="252" w:lineRule="auto"/>
            </w:pPr>
            <w:r>
              <w:rPr>
                <w:b w:val="0"/>
                <w:i w:val="0"/>
                <w:sz w:val="17"/>
              </w:rPr>
              <w:t>9 Personen (Liste in der Akte)</w:t>
            </w:r>
          </w:p>
        </w:tc>
        <w:tc>
          <w:tcPr>
            <w:tcW w:type="dxa" w:w="1474"/>
          </w:tcPr>
          <w:p>
            <w:pPr>
              <w:spacing w:after="40" w:line="252" w:lineRule="auto"/>
            </w:pPr>
            <w:r>
              <w:rPr>
                <w:b w:val="0"/>
                <w:i w:val="0"/>
                <w:sz w:val="17"/>
              </w:rPr>
              <w:t>EUDR-Team</w:t>
            </w:r>
          </w:p>
        </w:tc>
      </w:tr>
      <w:tr>
        <w:tc>
          <w:tcPr>
            <w:tcW w:type="dxa" w:w="1247"/>
          </w:tcPr>
          <w:p>
            <w:pPr>
              <w:spacing w:after="40" w:line="252" w:lineRule="auto"/>
            </w:pPr>
            <w:r>
              <w:rPr>
                <w:b w:val="0"/>
                <w:i w:val="0"/>
                <w:sz w:val="17"/>
              </w:rPr>
              <w:t>19.11.2026</w:t>
            </w:r>
          </w:p>
        </w:tc>
        <w:tc>
          <w:tcPr>
            <w:tcW w:type="dxa" w:w="1587"/>
          </w:tcPr>
          <w:p>
            <w:pPr>
              <w:spacing w:after="40" w:line="252" w:lineRule="auto"/>
            </w:pPr>
            <w:r>
              <w:rPr>
                <w:b w:val="0"/>
                <w:i w:val="0"/>
                <w:sz w:val="17"/>
              </w:rPr>
              <w:t>Zoll und Logistik, Vertrieb</w:t>
            </w:r>
          </w:p>
        </w:tc>
        <w:tc>
          <w:tcPr>
            <w:tcW w:type="dxa" w:w="2608"/>
          </w:tcPr>
          <w:p>
            <w:pPr>
              <w:spacing w:after="40" w:line="252" w:lineRule="auto"/>
            </w:pPr>
            <w:r>
              <w:rPr>
                <w:b w:val="0"/>
                <w:i w:val="0"/>
                <w:sz w:val="17"/>
              </w:rPr>
              <w:t>Erklärung, Referenznummer, Notfallweg, Weitergabe an Abnehmer</w:t>
            </w:r>
          </w:p>
        </w:tc>
        <w:tc>
          <w:tcPr>
            <w:tcW w:type="dxa" w:w="907"/>
          </w:tcPr>
          <w:p>
            <w:pPr>
              <w:spacing w:after="40" w:line="252" w:lineRule="auto"/>
            </w:pPr>
            <w:r>
              <w:rPr>
                <w:b w:val="0"/>
                <w:i w:val="0"/>
                <w:sz w:val="17"/>
              </w:rPr>
              <w:t>2 Stunden</w:t>
            </w:r>
          </w:p>
        </w:tc>
        <w:tc>
          <w:tcPr>
            <w:tcW w:type="dxa" w:w="1814"/>
          </w:tcPr>
          <w:p>
            <w:pPr>
              <w:spacing w:after="40" w:line="252" w:lineRule="auto"/>
            </w:pPr>
            <w:r>
              <w:rPr>
                <w:b w:val="0"/>
                <w:i w:val="0"/>
                <w:sz w:val="17"/>
              </w:rPr>
              <w:t>7 Personen (Liste in der Akte)</w:t>
            </w:r>
          </w:p>
        </w:tc>
        <w:tc>
          <w:tcPr>
            <w:tcW w:type="dxa" w:w="1474"/>
          </w:tcPr>
          <w:p>
            <w:pPr>
              <w:spacing w:after="40" w:line="252" w:lineRule="auto"/>
            </w:pPr>
            <w:r>
              <w:rPr>
                <w:b w:val="0"/>
                <w:i w:val="0"/>
                <w:sz w:val="17"/>
              </w:rPr>
              <w:t>EUDR-Team</w:t>
            </w:r>
          </w:p>
        </w:tc>
      </w:tr>
      <w:tr>
        <w:tc>
          <w:tcPr>
            <w:tcW w:type="dxa" w:w="1247"/>
          </w:tcPr>
          <w:p>
            <w:pPr>
              <w:spacing w:after="40" w:line="252" w:lineRule="auto"/>
            </w:pPr>
            <w:r>
              <w:rPr>
                <w:b w:val="0"/>
                <w:i w:val="0"/>
                <w:sz w:val="17"/>
              </w:rPr>
              <w:t>17.12.2026</w:t>
            </w:r>
          </w:p>
        </w:tc>
        <w:tc>
          <w:tcPr>
            <w:tcW w:type="dxa" w:w="1587"/>
          </w:tcPr>
          <w:p>
            <w:pPr>
              <w:spacing w:after="40" w:line="252" w:lineRule="auto"/>
            </w:pPr>
            <w:r>
              <w:rPr>
                <w:b w:val="0"/>
                <w:i w:val="0"/>
                <w:sz w:val="17"/>
              </w:rPr>
              <w:t>Lager (Nachschulung)</w:t>
            </w:r>
          </w:p>
        </w:tc>
        <w:tc>
          <w:tcPr>
            <w:tcW w:type="dxa" w:w="2608"/>
          </w:tcPr>
          <w:p>
            <w:pPr>
              <w:spacing w:after="40" w:line="252" w:lineRule="auto"/>
            </w:pPr>
            <w:r>
              <w:rPr>
                <w:b w:val="0"/>
                <w:i w:val="0"/>
                <w:sz w:val="17"/>
              </w:rPr>
              <w:t>wie 18.11.2026</w:t>
            </w:r>
          </w:p>
        </w:tc>
        <w:tc>
          <w:tcPr>
            <w:tcW w:type="dxa" w:w="907"/>
          </w:tcPr>
          <w:p>
            <w:pPr>
              <w:spacing w:after="40" w:line="252" w:lineRule="auto"/>
            </w:pPr>
            <w:r>
              <w:rPr>
                <w:b w:val="0"/>
                <w:i w:val="0"/>
                <w:sz w:val="17"/>
              </w:rPr>
              <w:t>1 Stunde</w:t>
            </w:r>
          </w:p>
        </w:tc>
        <w:tc>
          <w:tcPr>
            <w:tcW w:type="dxa" w:w="1814"/>
          </w:tcPr>
          <w:p>
            <w:pPr>
              <w:spacing w:after="40" w:line="252" w:lineRule="auto"/>
            </w:pPr>
            <w:r>
              <w:rPr>
                <w:b w:val="0"/>
                <w:i w:val="0"/>
                <w:sz w:val="17"/>
              </w:rPr>
              <w:t>3 Personen (Liste in der Akte)</w:t>
            </w:r>
          </w:p>
        </w:tc>
        <w:tc>
          <w:tcPr>
            <w:tcW w:type="dxa" w:w="1474"/>
          </w:tcPr>
          <w:p>
            <w:pPr>
              <w:spacing w:after="40" w:line="252" w:lineRule="auto"/>
            </w:pPr>
            <w:r>
              <w:rPr>
                <w:b w:val="0"/>
                <w:i w:val="0"/>
                <w:sz w:val="17"/>
              </w:rPr>
              <w:t>EUDR-Team</w:t>
            </w:r>
          </w:p>
        </w:tc>
      </w:tr>
    </w:tbl>
    <w:p>
      <w:pPr>
        <w:spacing w:after="40"/>
      </w:pPr>
    </w:p>
    <w:p>
      <w:pPr>
        <w:pStyle w:val="Heading2"/>
      </w:pPr>
      <w:r>
        <w:t>Anhang I: Ausfüllstand vor der Freigabe</w:t>
      </w:r>
    </w:p>
    <w:p>
      <w:r>
        <w:rPr>
          <w:b w:val="0"/>
          <w:i w:val="0"/>
          <w:sz w:val="18"/>
        </w:rPr>
        <w:t>Vor der Freigabe abhaken.</w:t>
      </w:r>
    </w:p>
    <w:p>
      <w:pPr>
        <w:spacing w:after="40"/>
      </w:pPr>
      <w:r>
        <w:rPr>
          <w:b w:val="0"/>
          <w:i w:val="0"/>
          <w:sz w:val="17"/>
        </w:rPr>
        <w:t>☒ Baustein 1: Rechtsträger, Standorte und Läger, Tätigkeiten, Erzeugnisse, Ausschlüsse, Unternehmensgröße, Vorjahr, Geltungsbeginn</w:t>
      </w:r>
    </w:p>
    <w:p>
      <w:pPr>
        <w:spacing w:after="40"/>
      </w:pPr>
      <w:r>
        <w:rPr>
          <w:b w:val="0"/>
          <w:i w:val="0"/>
          <w:sz w:val="17"/>
        </w:rPr>
        <w:t>☒ Baustein 2: Beschaffungswege, Neue Beschaffungswege, Überprüfung der Rollen</w:t>
      </w:r>
    </w:p>
    <w:p>
      <w:pPr>
        <w:spacing w:after="40"/>
      </w:pPr>
      <w:r>
        <w:rPr>
          <w:b w:val="0"/>
          <w:i w:val="0"/>
          <w:sz w:val="17"/>
        </w:rPr>
        <w:t>☒ Baustein 3: Geschäftsleitung, Compliance-Beauftragter, Prozessverantwortliche, Zuständigkeitsmatrix, Informationssystem, Bevollmächtigter nach Art. 6, Dienstleister und Werkzeuge, Schulung</w:t>
      </w:r>
    </w:p>
    <w:p>
      <w:pPr>
        <w:spacing w:after="40"/>
      </w:pPr>
      <w:r>
        <w:rPr>
          <w:b w:val="0"/>
          <w:i w:val="0"/>
          <w:sz w:val="17"/>
        </w:rPr>
        <w:t>☒ Baustein 4: Prüfliste nach Art. 9 Abs. 1, Lieferantenabfrage, Geodaten, Holzarten, Legalität, Vollständigkeit, Umgang mit Lücken</w:t>
      </w:r>
    </w:p>
    <w:p>
      <w:pPr>
        <w:spacing w:after="40"/>
      </w:pPr>
      <w:r>
        <w:rPr>
          <w:b w:val="0"/>
          <w:i w:val="0"/>
          <w:sz w:val="17"/>
        </w:rPr>
        <w:t>☒ Baustein 5: Bewertungseinheit, Kriterien, Einstufung, Gesamtregel, Länderrisiko, Werkzeuge, Prüfweg nach Art. 13, Überprüfung</w:t>
      </w:r>
    </w:p>
    <w:p>
      <w:pPr>
        <w:spacing w:after="40"/>
      </w:pPr>
      <w:r>
        <w:rPr>
          <w:b w:val="0"/>
          <w:i w:val="0"/>
          <w:sz w:val="17"/>
        </w:rPr>
        <w:t>☒ Baustein 6: Maßnahmenkatalog, Entscheidung, Neubewertung, Abbruch und Sperre, Vermischung an Verarbeitungsstätten, Dokumentation, Überprüfung</w:t>
      </w:r>
    </w:p>
    <w:p>
      <w:pPr>
        <w:spacing w:after="40"/>
      </w:pPr>
      <w:r>
        <w:rPr>
          <w:b w:val="0"/>
          <w:i w:val="0"/>
          <w:sz w:val="17"/>
        </w:rPr>
        <w:t>☒ Baustein 7: Freigabepunkt, Freigabekriterien, Freigabe durch, Technische Sperre, Kennzeichnung, Lager, Mengenabgleich</w:t>
      </w:r>
    </w:p>
    <w:p>
      <w:pPr>
        <w:spacing w:after="40"/>
      </w:pPr>
      <w:r>
        <w:rPr>
          <w:b w:val="0"/>
          <w:i w:val="0"/>
          <w:sz w:val="17"/>
        </w:rPr>
        <w:t>☒ Baustein 8: Erstellung und Übermittlung, Erklärungsart, Deckung, Mengenabgleich, Prüfung vor Übermittlung, Änderung und Widerruf, Weitergabe, Notfallweg, Ablage</w:t>
      </w:r>
    </w:p>
    <w:p>
      <w:pPr>
        <w:spacing w:after="40"/>
      </w:pPr>
      <w:r>
        <w:rPr>
          <w:b w:val="0"/>
          <w:i w:val="0"/>
          <w:sz w:val="17"/>
        </w:rPr>
        <w:t>☒ Baustein 9: Eingangskanäle, Erfassung und Zuständigkeit, Frist für die Erstbewertung, Sofortmaßnahme, Meldung, Bei vereinfachter Sorgfaltspflicht, Rückkopplung</w:t>
      </w:r>
    </w:p>
    <w:p>
      <w:pPr>
        <w:spacing w:after="40"/>
      </w:pPr>
      <w:r>
        <w:rPr>
          <w:b w:val="0"/>
          <w:i w:val="0"/>
          <w:sz w:val="17"/>
        </w:rPr>
        <w:t>☒ Baustein 10: Interne Kontrollen, Bericht an die Geschäftsleitung, Prüfstelle, Prüfauftrag, Maßnahmenverfolgung, Weitergabe der Ergebnisse an Abnehmer</w:t>
      </w:r>
    </w:p>
    <w:p>
      <w:pPr>
        <w:spacing w:after="40"/>
      </w:pPr>
      <w:r>
        <w:rPr>
          <w:b w:val="0"/>
          <w:i w:val="0"/>
          <w:sz w:val="17"/>
        </w:rPr>
        <w:t>☒ Baustein 11: Akte je Referenznummer, Fristen und Fristbeginn, Speicherort, Zugriff, Sicherung, Löschung, Ansprechpartner für die Behörde, Kontrolltag</w:t>
      </w:r>
    </w:p>
    <w:p>
      <w:pPr>
        <w:spacing w:after="40"/>
      </w:pPr>
      <w:r>
        <w:rPr>
          <w:b w:val="0"/>
          <w:i w:val="0"/>
          <w:sz w:val="17"/>
        </w:rPr>
        <w:t>☒ Baustein 12: Jährliche Überprüfung, Auslöser für sofortige Aktualisierung, Änderungsprotokoll, Öffentlicher Bericht</w:t>
      </w:r>
    </w:p>
    <w:p>
      <w:pPr>
        <w:spacing w:after="40"/>
      </w:pPr>
      <w:r>
        <w:rPr>
          <w:b w:val="0"/>
          <w:i w:val="0"/>
          <w:sz w:val="17"/>
        </w:rPr>
        <w:t>☒ Deckblatt vollständig</w:t>
      </w:r>
    </w:p>
    <w:p>
      <w:pPr>
        <w:spacing w:after="40"/>
      </w:pPr>
      <w:r>
        <w:rPr>
          <w:b w:val="0"/>
          <w:i w:val="0"/>
          <w:sz w:val="17"/>
        </w:rPr>
        <w:t>☒ Änderungsprotokoll mit Erstfassung</w:t>
      </w:r>
    </w:p>
    <w:p>
      <w:pPr>
        <w:spacing w:after="40"/>
      </w:pPr>
      <w:r>
        <w:rPr>
          <w:b w:val="0"/>
          <w:i w:val="0"/>
          <w:sz w:val="17"/>
        </w:rPr>
        <w:t>☒ Anhänge B bis E und H ausgefüllt</w:t>
      </w:r>
    </w:p>
    <w:p>
      <w:pPr>
        <w:spacing w:after="40"/>
      </w:pPr>
      <w:r>
        <w:rPr>
          <w:b w:val="0"/>
          <w:i w:val="0"/>
          <w:sz w:val="17"/>
        </w:rPr>
        <w:t>☒ graue Hinweise gelöscht</w:t>
      </w:r>
    </w:p>
    <w:p>
      <w:pPr>
        <w:spacing w:after="40"/>
      </w:pPr>
      <w:r>
        <w:rPr>
          <w:b w:val="0"/>
          <w:i w:val="0"/>
          <w:sz w:val="17"/>
        </w:rPr>
        <w:t>☒ Freigabe durch die Geschäftsleitung mit Datum</w:t>
      </w:r>
    </w:p>
    <w:p>
      <w:r>
        <w:rPr>
          <w:b w:val="0"/>
          <w:i/>
          <w:sz w:val="18"/>
        </w:rPr>
        <w:t>Alle Punkte erledigt; Freigabe Version 1.0 am 14.12.2026, Version 1.1 am 20.01.2027.</w:t>
      </w:r>
    </w:p>
    <w:sectPr w:rsidR="00FC693F" w:rsidRPr="0006063C" w:rsidSect="00034616">
      <w:headerReference w:type="default" r:id="rId9"/>
      <w:footerReference w:type="default" r:id="rId10"/>
      <w:pgSz w:w="11906" w:h="16838"/>
      <w:pgMar w:top="1134"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95959"/>
        <w:sz w:val="15"/>
      </w:rPr>
      <w:t xml:space="preserve">Fiktives Muster. Unternehmen, Personen, Lieferanten, Flächen, Mengen und Befunde sind erfunden. Das Muster zeigt Aufbau und Tiefe einer Regelung, keine realen Ergebnisse und keine Rechtsberatung. Muster: HRG Polygon One GmbH, polygon-one.com, Stand 30.10.2026. </w:t>
    </w:r>
    <w:r>
      <w:rPr>
        <w:color w:val="595959"/>
        <w:sz w:val="15"/>
      </w:rPr>
      <w:t xml:space="preserve">Seite </w:t>
    </w:r>
    <w:r>
      <w:rPr>
        <w:sz w:val="15"/>
      </w:rPr>
      <w:fldChar w:fldCharType="begin"/>
    </w:r>
    <w:r>
      <w:rPr>
        <w:sz w:val="15"/>
      </w:rPr>
      <w:instrText xml:space="preserve">PAGE</w:instrText>
    </w:r>
    <w:r>
      <w:rPr>
        <w:sz w:val="15"/>
      </w:rPr>
      <w:fldChar w:fldCharType="separate"/>
    </w:r>
    <w:r>
      <w:rPr>
        <w:sz w:val="15"/>
      </w:rPr>
      <w:t>1</w:t>
    </w:r>
    <w:r>
      <w:rPr>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i w:val="0"/>
        <w:color w:val="9C2A1E"/>
        <w:sz w:val="16"/>
      </w:rPr>
      <w:t>FIKTIVES MUSTER · Muster Holz &amp; Möbel GmbH · Sorgfaltspflichtregelung Version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C183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6AA6"/>
      <w:sz w:val="24"/>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Arial" w:hAnsi="Arial"/>
      <w:b/>
      <w:bCs/>
      <w:color w:val="0C183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Arial" w:hAnsi="Arial"/>
      <w:b/>
      <w:color w:val="0C183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Sorgfaltspflichtregelung nach Artikel 12 der Verordnung (EU) 2023/1115 (EUDR), ausgefülltes Muster</dc:title>
  <dc:subject>Fiktives Muster</dc:subject>
  <dc:creator>HRG Polygon One GmbH</dc:creator>
  <cp:keywords>EUDR, Artikel 12, Sorgfaltspflichtregelung</cp:keywords>
  <dc:description/>
  <cp:lastModifiedBy>HRG Polygon One GmbH</cp:lastModifiedBy>
  <cp:revision>1</cp:revision>
  <dcterms:created xsi:type="dcterms:W3CDTF">2026-10-30T12:00:00Z</dcterms:created>
  <dcterms:modified xsi:type="dcterms:W3CDTF">2026-10-30T12:00:00Z</dcterms:modified>
  <cp:category/>
  <dc:language>de-DE</dc:language>
</cp:coreProperties>
</file>