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Due diligence system under Article 12 of Regulation (EU) 2023/1115 (EUDR), worked example</w:t>
      </w:r>
    </w:p>
    <w:tbl>
      <w:tblPr>
        <w:tblStyle w:val="TableGrid"/>
        <w:tblW w:type="dxa" w:w="9637"/>
        <w:tblLayout w:type="fixed"/>
        <w:tblLook w:firstColumn="1" w:firstRow="1" w:lastColumn="0" w:lastRow="0" w:noHBand="0" w:noVBand="1" w:val="04A0"/>
      </w:tblPr>
      <w:tblGrid>
        <w:gridCol w:w="9638"/>
      </w:tblGrid>
      <w:tr>
        <w:tc>
          <w:tcPr>
            <w:tcW w:type="dxa" w:w="9638"/>
            <w:tcBorders>
              <w:top w:val="single" w:sz="8" w:color="9C2A1E"/>
              <w:left w:val="single" w:sz="8" w:color="9C2A1E"/>
              <w:bottom w:val="single" w:sz="8" w:color="9C2A1E"/>
              <w:right w:val="single" w:sz="8" w:color="9C2A1E"/>
            </w:tcBorders>
            <w:shd w:val="clear" w:color="auto" w:fill="FBEAEA"/>
          </w:tcPr>
          <w:p>
            <w:pPr>
              <w:spacing w:after="40"/>
            </w:pPr>
            <w:r>
              <w:rPr>
                <w:b w:val="0"/>
                <w:i w:val="0"/>
                <w:color w:val="9C2A1E"/>
                <w:sz w:val="19"/>
              </w:rPr>
              <w:t>Fictitious example. Company, people, suppliers, plots, quantities and findings are invented. The example shows the structure and depth of a due diligence system, not real results, and is not legal advice. Write your own system in the blank template; a copied system does not reflect your supply chains. Tools are named neutrally. Codes under Annex I marked “ex”: covered only where made of wood; classifying the garden benches under 9401 69 00 is an assumption of the example. Applying Article 13 per supply chain is our interpretation. Explanations: polygon-one.com/en/eudr-due-diligence-system-template.</w:t>
            </w:r>
          </w:p>
        </w:tc>
      </w:tr>
    </w:tbl>
    <w:p>
      <w:pPr>
        <w:spacing w:after="40"/>
      </w:pP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402"/>
        <w:gridCol w:w="6236"/>
      </w:tblGrid>
      <w:tr>
        <w:trPr>
          <w:tblHeader w:val="true"/>
        </w:trPr>
        <w:tc>
          <w:tcPr>
            <w:tcW w:type="dxa" w:w="3402"/>
            <w:shd w:val="clear" w:color="auto" w:fill="D9E2EC"/>
          </w:tcPr>
          <w:p>
            <w:pPr>
              <w:spacing w:after="40" w:line="252" w:lineRule="auto"/>
            </w:pPr>
            <w:r>
              <w:rPr>
                <w:b/>
                <w:i w:val="0"/>
                <w:sz w:val="19"/>
              </w:rPr>
              <w:t>Field</w:t>
            </w:r>
          </w:p>
        </w:tc>
        <w:tc>
          <w:tcPr>
            <w:tcW w:type="dxa" w:w="6236"/>
            <w:shd w:val="clear" w:color="auto" w:fill="D9E2EC"/>
          </w:tcPr>
          <w:p>
            <w:pPr>
              <w:spacing w:after="40" w:line="252" w:lineRule="auto"/>
            </w:pPr>
            <w:r>
              <w:rPr>
                <w:b/>
                <w:i w:val="0"/>
                <w:sz w:val="19"/>
              </w:rPr>
              <w:t>Entry</w:t>
            </w:r>
          </w:p>
        </w:tc>
      </w:tr>
      <w:tr>
        <w:tc>
          <w:tcPr>
            <w:tcW w:type="dxa" w:w="3402"/>
          </w:tcPr>
          <w:p>
            <w:pPr>
              <w:spacing w:after="40" w:line="252" w:lineRule="auto"/>
            </w:pPr>
            <w:r>
              <w:rPr>
                <w:b/>
                <w:i w:val="0"/>
                <w:sz w:val="19"/>
              </w:rPr>
              <w:t>Company</w:t>
            </w:r>
          </w:p>
        </w:tc>
        <w:tc>
          <w:tcPr>
            <w:tcW w:type="dxa" w:w="6236"/>
          </w:tcPr>
          <w:p>
            <w:pPr>
              <w:spacing w:after="40" w:line="252" w:lineRule="auto"/>
            </w:pPr>
            <w:r>
              <w:rPr>
                <w:b w:val="0"/>
                <w:i w:val="0"/>
                <w:sz w:val="19"/>
              </w:rPr>
              <w:t>Muster Holz &amp; Möbel GmbH (fictitious)</w:t>
            </w:r>
          </w:p>
        </w:tc>
      </w:tr>
      <w:tr>
        <w:tc>
          <w:tcPr>
            <w:tcW w:type="dxa" w:w="3402"/>
          </w:tcPr>
          <w:p>
            <w:pPr>
              <w:spacing w:after="40" w:line="252" w:lineRule="auto"/>
            </w:pPr>
            <w:r>
              <w:rPr>
                <w:b/>
                <w:i w:val="0"/>
                <w:sz w:val="19"/>
              </w:rPr>
              <w:t>Legal form, registered office, commercial register</w:t>
            </w:r>
          </w:p>
        </w:tc>
        <w:tc>
          <w:tcPr>
            <w:tcW w:type="dxa" w:w="6236"/>
          </w:tcPr>
          <w:p>
            <w:pPr>
              <w:spacing w:after="40" w:line="252" w:lineRule="auto"/>
            </w:pPr>
            <w:r>
              <w:rPr>
                <w:b w:val="0"/>
                <w:i w:val="0"/>
                <w:sz w:val="19"/>
              </w:rPr>
              <w:t>GmbH, Musterstadt (fictitious), HRB 00000 (fictitious)</w:t>
            </w:r>
          </w:p>
        </w:tc>
      </w:tr>
      <w:tr>
        <w:tc>
          <w:tcPr>
            <w:tcW w:type="dxa" w:w="3402"/>
          </w:tcPr>
          <w:p>
            <w:pPr>
              <w:spacing w:after="40" w:line="252" w:lineRule="auto"/>
            </w:pPr>
            <w:r>
              <w:rPr>
                <w:b/>
                <w:i w:val="0"/>
                <w:sz w:val="19"/>
              </w:rPr>
              <w:t>EORI number</w:t>
            </w:r>
          </w:p>
        </w:tc>
        <w:tc>
          <w:tcPr>
            <w:tcW w:type="dxa" w:w="6236"/>
          </w:tcPr>
          <w:p>
            <w:pPr>
              <w:spacing w:after="40" w:line="252" w:lineRule="auto"/>
            </w:pPr>
            <w:r>
              <w:rPr>
                <w:b w:val="0"/>
                <w:i w:val="0"/>
                <w:sz w:val="19"/>
              </w:rPr>
              <w:t>DE0000000000000 (fictitious)</w:t>
            </w:r>
          </w:p>
        </w:tc>
      </w:tr>
      <w:tr>
        <w:tc>
          <w:tcPr>
            <w:tcW w:type="dxa" w:w="3402"/>
          </w:tcPr>
          <w:p>
            <w:pPr>
              <w:spacing w:after="40" w:line="252" w:lineRule="auto"/>
            </w:pPr>
            <w:r>
              <w:rPr>
                <w:b/>
                <w:i w:val="0"/>
                <w:sz w:val="19"/>
              </w:rPr>
              <w:t>Identifier in the EU Information System</w:t>
            </w:r>
          </w:p>
        </w:tc>
        <w:tc>
          <w:tcPr>
            <w:tcW w:type="dxa" w:w="6236"/>
          </w:tcPr>
          <w:p>
            <w:pPr>
              <w:spacing w:after="40" w:line="252" w:lineRule="auto"/>
            </w:pPr>
            <w:r>
              <w:rPr>
                <w:b w:val="0"/>
                <w:i w:val="0"/>
                <w:sz w:val="19"/>
              </w:rPr>
              <w:t>available (not shown in the example)</w:t>
            </w:r>
          </w:p>
        </w:tc>
      </w:tr>
      <w:tr>
        <w:tc>
          <w:tcPr>
            <w:tcW w:type="dxa" w:w="3402"/>
          </w:tcPr>
          <w:p>
            <w:pPr>
              <w:spacing w:after="40" w:line="252" w:lineRule="auto"/>
            </w:pPr>
            <w:r>
              <w:rPr>
                <w:b/>
                <w:i w:val="0"/>
                <w:sz w:val="19"/>
              </w:rPr>
              <w:t>Version</w:t>
            </w:r>
          </w:p>
        </w:tc>
        <w:tc>
          <w:tcPr>
            <w:tcW w:type="dxa" w:w="6236"/>
          </w:tcPr>
          <w:p>
            <w:pPr>
              <w:spacing w:after="40" w:line="252" w:lineRule="auto"/>
            </w:pPr>
            <w:r>
              <w:rPr>
                <w:b w:val="0"/>
                <w:i w:val="0"/>
                <w:sz w:val="19"/>
              </w:rPr>
              <w:t>1.1</w:t>
            </w:r>
          </w:p>
        </w:tc>
      </w:tr>
      <w:tr>
        <w:tc>
          <w:tcPr>
            <w:tcW w:type="dxa" w:w="3402"/>
          </w:tcPr>
          <w:p>
            <w:pPr>
              <w:spacing w:after="40" w:line="252" w:lineRule="auto"/>
            </w:pPr>
            <w:r>
              <w:rPr>
                <w:b/>
                <w:i w:val="0"/>
                <w:sz w:val="19"/>
              </w:rPr>
              <w:t>Valid from</w:t>
            </w:r>
          </w:p>
        </w:tc>
        <w:tc>
          <w:tcPr>
            <w:tcW w:type="dxa" w:w="6236"/>
          </w:tcPr>
          <w:p>
            <w:pPr>
              <w:spacing w:after="40" w:line="252" w:lineRule="auto"/>
            </w:pPr>
            <w:r>
              <w:rPr>
                <w:b w:val="0"/>
                <w:i w:val="0"/>
                <w:sz w:val="19"/>
              </w:rPr>
              <w:t>20 January 2027 (version 1.0 from 14 December 2026)</w:t>
            </w:r>
          </w:p>
        </w:tc>
      </w:tr>
      <w:tr>
        <w:tc>
          <w:tcPr>
            <w:tcW w:type="dxa" w:w="3402"/>
          </w:tcPr>
          <w:p>
            <w:pPr>
              <w:spacing w:after="40" w:line="252" w:lineRule="auto"/>
            </w:pPr>
            <w:r>
              <w:rPr>
                <w:b/>
                <w:i w:val="0"/>
                <w:sz w:val="19"/>
              </w:rPr>
              <w:t>Approved by management</w:t>
            </w:r>
          </w:p>
        </w:tc>
        <w:tc>
          <w:tcPr>
            <w:tcW w:type="dxa" w:w="6236"/>
          </w:tcPr>
          <w:p>
            <w:pPr>
              <w:spacing w:after="40" w:line="252" w:lineRule="auto"/>
            </w:pPr>
            <w:r>
              <w:rPr>
                <w:b w:val="0"/>
                <w:i w:val="0"/>
                <w:sz w:val="19"/>
              </w:rPr>
              <w:t>Management, 20 January 2027</w:t>
            </w:r>
          </w:p>
        </w:tc>
      </w:tr>
      <w:tr>
        <w:tc>
          <w:tcPr>
            <w:tcW w:type="dxa" w:w="3402"/>
          </w:tcPr>
          <w:p>
            <w:pPr>
              <w:spacing w:after="40" w:line="252" w:lineRule="auto"/>
            </w:pPr>
            <w:r>
              <w:rPr>
                <w:b/>
                <w:i w:val="0"/>
                <w:sz w:val="19"/>
              </w:rPr>
              <w:t>Next scheduled review</w:t>
            </w:r>
          </w:p>
        </w:tc>
        <w:tc>
          <w:tcPr>
            <w:tcW w:type="dxa" w:w="6236"/>
          </w:tcPr>
          <w:p>
            <w:pPr>
              <w:spacing w:after="40" w:line="252" w:lineRule="auto"/>
            </w:pPr>
            <w:r>
              <w:rPr>
                <w:b w:val="0"/>
                <w:i w:val="0"/>
                <w:sz w:val="19"/>
              </w:rPr>
              <w:t>November 2027</w:t>
            </w:r>
          </w:p>
        </w:tc>
      </w:tr>
    </w:tbl>
    <w:p>
      <w:pPr>
        <w:spacing w:after="40"/>
      </w:pPr>
    </w:p>
    <w:p>
      <w:pPr>
        <w:pStyle w:val="Heading1"/>
      </w:pPr>
      <w:r>
        <w:t>Contents</w:t>
      </w:r>
    </w:p>
    <w:p>
      <w:r>
        <w:rPr>
          <w:b w:val="0"/>
          <w:i/>
          <w:color w:val="595959"/>
          <w:sz w:val="16"/>
        </w:rPr>
        <w:t>In Word: click into the table of contents and press F9 to add page numbers.</w:t>
      </w:r>
    </w:p>
    <w:p>
      <w:pPr>
        <w:spacing w:after="20"/>
        <w:ind w:left="0"/>
      </w:pPr>
      <w:r>
        <w:fldChar w:fldCharType="begin"/>
      </w:r>
      <w:r>
        <w:instrText xml:space="preserve">TOC \o "1-2" \h \z \u</w:instrText>
      </w:r>
      <w:r>
        <w:fldChar w:fldCharType="separate"/>
      </w:r>
      <w:r>
        <w:rPr>
          <w:b/>
          <w:sz w:val="19"/>
        </w:rPr>
        <w:t>Document control and change log</w:t>
      </w:r>
    </w:p>
    <w:p>
      <w:pPr>
        <w:spacing w:after="20"/>
        <w:ind w:left="0"/>
      </w:pPr>
      <w:r>
        <w:rPr>
          <w:b/>
          <w:sz w:val="19"/>
        </w:rPr>
        <w:t>How this system is structured</w:t>
      </w:r>
    </w:p>
    <w:p>
      <w:pPr>
        <w:spacing w:after="20"/>
        <w:ind w:left="0"/>
      </w:pPr>
      <w:r>
        <w:rPr>
          <w:b/>
          <w:sz w:val="19"/>
        </w:rPr>
        <w:t>Part A: Framework</w:t>
      </w:r>
    </w:p>
    <w:p>
      <w:pPr>
        <w:spacing w:after="20"/>
        <w:ind w:left="340"/>
      </w:pPr>
      <w:r>
        <w:rPr>
          <w:b w:val="0"/>
          <w:sz w:val="18"/>
        </w:rPr>
        <w:t>Building block 1: Scope and company size</w:t>
      </w:r>
    </w:p>
    <w:p>
      <w:pPr>
        <w:spacing w:after="20"/>
        <w:ind w:left="340"/>
      </w:pPr>
      <w:r>
        <w:rPr>
          <w:b w:val="0"/>
          <w:sz w:val="18"/>
        </w:rPr>
        <w:t>Building block 2: Roles per sourcing route</w:t>
      </w:r>
    </w:p>
    <w:p>
      <w:pPr>
        <w:spacing w:after="20"/>
        <w:ind w:left="340"/>
      </w:pPr>
      <w:r>
        <w:rPr>
          <w:b w:val="0"/>
          <w:sz w:val="18"/>
        </w:rPr>
        <w:t>Building block 3: Accountability and responsibilities</w:t>
      </w:r>
    </w:p>
    <w:p>
      <w:pPr>
        <w:spacing w:after="20"/>
        <w:ind w:left="0"/>
      </w:pPr>
      <w:r>
        <w:rPr>
          <w:b/>
          <w:sz w:val="19"/>
        </w:rPr>
        <w:t>Part B: Process per delivery</w:t>
      </w:r>
    </w:p>
    <w:p>
      <w:pPr>
        <w:spacing w:after="20"/>
        <w:ind w:left="340"/>
      </w:pPr>
      <w:r>
        <w:rPr>
          <w:b w:val="0"/>
          <w:sz w:val="18"/>
        </w:rPr>
        <w:t>Building block 4: Information collection</w:t>
      </w:r>
    </w:p>
    <w:p>
      <w:pPr>
        <w:spacing w:after="20"/>
        <w:ind w:left="340"/>
      </w:pPr>
      <w:r>
        <w:rPr>
          <w:b w:val="0"/>
          <w:sz w:val="18"/>
        </w:rPr>
        <w:t>Building block 5: Risk assessment and simplified due diligence</w:t>
      </w:r>
    </w:p>
    <w:p>
      <w:pPr>
        <w:spacing w:after="20"/>
        <w:ind w:left="340"/>
      </w:pPr>
      <w:r>
        <w:rPr>
          <w:b w:val="0"/>
          <w:sz w:val="18"/>
        </w:rPr>
        <w:t>Building block 6: Risk mitigation</w:t>
      </w:r>
    </w:p>
    <w:p>
      <w:pPr>
        <w:spacing w:after="20"/>
        <w:ind w:left="340"/>
      </w:pPr>
      <w:r>
        <w:rPr>
          <w:b w:val="0"/>
          <w:sz w:val="18"/>
        </w:rPr>
        <w:t>Building block 7: Release and flow of goods</w:t>
      </w:r>
    </w:p>
    <w:p>
      <w:pPr>
        <w:spacing w:after="20"/>
        <w:ind w:left="340"/>
      </w:pPr>
      <w:r>
        <w:rPr>
          <w:b w:val="0"/>
          <w:sz w:val="18"/>
        </w:rPr>
        <w:t>Building block 8: Due diligence statement, reference numbers, customs</w:t>
      </w:r>
    </w:p>
    <w:p>
      <w:pPr>
        <w:spacing w:after="20"/>
        <w:ind w:left="340"/>
      </w:pPr>
      <w:r>
        <w:rPr>
          <w:b w:val="0"/>
          <w:sz w:val="18"/>
        </w:rPr>
        <w:t>Building block 9: New information and substantiated concerns</w:t>
      </w:r>
    </w:p>
    <w:p>
      <w:pPr>
        <w:spacing w:after="20"/>
        <w:ind w:left="0"/>
      </w:pPr>
      <w:r>
        <w:rPr>
          <w:b/>
          <w:sz w:val="19"/>
        </w:rPr>
        <w:t>Part C: Control and maintenance</w:t>
      </w:r>
    </w:p>
    <w:p>
      <w:pPr>
        <w:spacing w:after="20"/>
        <w:ind w:left="340"/>
      </w:pPr>
      <w:r>
        <w:rPr>
          <w:b w:val="0"/>
          <w:sz w:val="18"/>
        </w:rPr>
        <w:t>Building block 10: Internal control and independent audit function</w:t>
      </w:r>
    </w:p>
    <w:p>
      <w:pPr>
        <w:spacing w:after="20"/>
        <w:ind w:left="340"/>
      </w:pPr>
      <w:r>
        <w:rPr>
          <w:b w:val="0"/>
          <w:sz w:val="18"/>
        </w:rPr>
        <w:t>Building block 11: Records and requests from authorities</w:t>
      </w:r>
    </w:p>
    <w:p>
      <w:pPr>
        <w:spacing w:after="20"/>
        <w:ind w:left="340"/>
      </w:pPr>
      <w:r>
        <w:rPr>
          <w:b w:val="0"/>
          <w:sz w:val="18"/>
        </w:rPr>
        <w:t>Building block 12: Review, update, public report</w:t>
      </w:r>
    </w:p>
    <w:p>
      <w:pPr>
        <w:spacing w:after="20"/>
        <w:ind w:left="0"/>
      </w:pPr>
      <w:r>
        <w:rPr>
          <w:b/>
          <w:sz w:val="19"/>
        </w:rPr>
        <w:t>Annexes</w:t>
      </w:r>
    </w:p>
    <w:p>
      <w:pPr>
        <w:spacing w:after="20"/>
        <w:ind w:left="340"/>
      </w:pPr>
      <w:r>
        <w:rPr>
          <w:b w:val="0"/>
          <w:sz w:val="18"/>
        </w:rPr>
        <w:t>Annex A: Obligations as a trader or downstream operator (Art. 5)</w:t>
      </w:r>
    </w:p>
    <w:p>
      <w:pPr>
        <w:spacing w:after="20"/>
        <w:ind w:left="340"/>
      </w:pPr>
      <w:r>
        <w:rPr>
          <w:b w:val="0"/>
          <w:sz w:val="18"/>
        </w:rPr>
        <w:t>Annex B: Product list</w:t>
      </w:r>
    </w:p>
    <w:p>
      <w:pPr>
        <w:spacing w:after="20"/>
        <w:ind w:left="340"/>
      </w:pPr>
      <w:r>
        <w:rPr>
          <w:b w:val="0"/>
          <w:sz w:val="18"/>
        </w:rPr>
        <w:t>Annex C: Sourcing routes and roles</w:t>
      </w:r>
    </w:p>
    <w:p>
      <w:pPr>
        <w:spacing w:after="20"/>
        <w:ind w:left="340"/>
      </w:pPr>
      <w:r>
        <w:rPr>
          <w:b w:val="0"/>
          <w:sz w:val="18"/>
        </w:rPr>
        <w:t>Annex D: Responsibility matrix</w:t>
      </w:r>
    </w:p>
    <w:p>
      <w:pPr>
        <w:spacing w:after="20"/>
        <w:ind w:left="340"/>
      </w:pPr>
      <w:r>
        <w:rPr>
          <w:b w:val="0"/>
          <w:sz w:val="18"/>
        </w:rPr>
        <w:t>Annex E: Risk mitigation measures catalogue</w:t>
      </w:r>
    </w:p>
    <w:p>
      <w:pPr>
        <w:spacing w:after="20"/>
        <w:ind w:left="340"/>
      </w:pPr>
      <w:r>
        <w:rPr>
          <w:b w:val="0"/>
          <w:sz w:val="18"/>
        </w:rPr>
        <w:t>Annex F: Record of the annual review</w:t>
      </w:r>
    </w:p>
    <w:p>
      <w:pPr>
        <w:spacing w:after="20"/>
        <w:ind w:left="340"/>
      </w:pPr>
      <w:r>
        <w:rPr>
          <w:b w:val="0"/>
          <w:sz w:val="18"/>
        </w:rPr>
        <w:t>Annex G: Outline of the public report (non-SMEs only)</w:t>
      </w:r>
    </w:p>
    <w:p>
      <w:pPr>
        <w:spacing w:after="20"/>
        <w:ind w:left="340"/>
      </w:pPr>
      <w:r>
        <w:rPr>
          <w:b w:val="0"/>
          <w:sz w:val="18"/>
        </w:rPr>
        <w:t>Annex H: Training record</w:t>
      </w:r>
    </w:p>
    <w:p>
      <w:pPr>
        <w:spacing w:after="20"/>
        <w:ind w:left="340"/>
      </w:pPr>
      <w:r>
        <w:rPr>
          <w:b w:val="0"/>
          <w:sz w:val="18"/>
        </w:rPr>
        <w:t>Annex I: Completion check before approval</w:t>
      </w:r>
      <w:r>
        <w:fldChar w:fldCharType="end"/>
      </w:r>
    </w:p>
    <w:p>
      <w:pPr>
        <w:pStyle w:val="Heading1"/>
      </w:pPr>
      <w:r>
        <w:t>Document control and change log</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737"/>
        <w:gridCol w:w="1134"/>
        <w:gridCol w:w="2948"/>
        <w:gridCol w:w="2268"/>
        <w:gridCol w:w="1134"/>
        <w:gridCol w:w="1417"/>
      </w:tblGrid>
      <w:tr>
        <w:trPr>
          <w:tblHeader w:val="true"/>
        </w:trPr>
        <w:tc>
          <w:tcPr>
            <w:tcW w:type="dxa" w:w="737"/>
            <w:shd w:val="clear" w:color="auto" w:fill="D9E2EC"/>
          </w:tcPr>
          <w:p>
            <w:pPr>
              <w:spacing w:after="40" w:line="252" w:lineRule="auto"/>
            </w:pPr>
            <w:r>
              <w:rPr>
                <w:b/>
                <w:i w:val="0"/>
                <w:sz w:val="17"/>
              </w:rPr>
              <w:t>Version</w:t>
            </w:r>
          </w:p>
        </w:tc>
        <w:tc>
          <w:tcPr>
            <w:tcW w:type="dxa" w:w="1134"/>
            <w:shd w:val="clear" w:color="auto" w:fill="D9E2EC"/>
          </w:tcPr>
          <w:p>
            <w:pPr>
              <w:spacing w:after="40" w:line="252" w:lineRule="auto"/>
            </w:pPr>
            <w:r>
              <w:rPr>
                <w:b/>
                <w:i w:val="0"/>
                <w:sz w:val="17"/>
              </w:rPr>
              <w:t>Date</w:t>
            </w:r>
          </w:p>
        </w:tc>
        <w:tc>
          <w:tcPr>
            <w:tcW w:type="dxa" w:w="2948"/>
            <w:shd w:val="clear" w:color="auto" w:fill="D9E2EC"/>
          </w:tcPr>
          <w:p>
            <w:pPr>
              <w:spacing w:after="40" w:line="252" w:lineRule="auto"/>
            </w:pPr>
            <w:r>
              <w:rPr>
                <w:b/>
                <w:i w:val="0"/>
                <w:sz w:val="17"/>
              </w:rPr>
              <w:t>Change</w:t>
            </w:r>
          </w:p>
        </w:tc>
        <w:tc>
          <w:tcPr>
            <w:tcW w:type="dxa" w:w="2268"/>
            <w:shd w:val="clear" w:color="auto" w:fill="D9E2EC"/>
          </w:tcPr>
          <w:p>
            <w:pPr>
              <w:spacing w:after="40" w:line="252" w:lineRule="auto"/>
            </w:pPr>
            <w:r>
              <w:rPr>
                <w:b/>
                <w:i w:val="0"/>
                <w:sz w:val="17"/>
              </w:rPr>
              <w:t>Reason</w:t>
            </w:r>
          </w:p>
        </w:tc>
        <w:tc>
          <w:tcPr>
            <w:tcW w:type="dxa" w:w="1134"/>
            <w:shd w:val="clear" w:color="auto" w:fill="D9E2EC"/>
          </w:tcPr>
          <w:p>
            <w:pPr>
              <w:spacing w:after="40" w:line="252" w:lineRule="auto"/>
            </w:pPr>
            <w:r>
              <w:rPr>
                <w:b/>
                <w:i w:val="0"/>
                <w:sz w:val="17"/>
              </w:rPr>
              <w:t>Building blocks</w:t>
            </w:r>
          </w:p>
        </w:tc>
        <w:tc>
          <w:tcPr>
            <w:tcW w:type="dxa" w:w="1417"/>
            <w:shd w:val="clear" w:color="auto" w:fill="D9E2EC"/>
          </w:tcPr>
          <w:p>
            <w:pPr>
              <w:spacing w:after="40" w:line="252" w:lineRule="auto"/>
            </w:pPr>
            <w:r>
              <w:rPr>
                <w:b/>
                <w:i w:val="0"/>
                <w:sz w:val="17"/>
              </w:rPr>
              <w:t>Approved by</w:t>
            </w:r>
          </w:p>
        </w:tc>
      </w:tr>
      <w:tr>
        <w:tc>
          <w:tcPr>
            <w:tcW w:type="dxa" w:w="737"/>
          </w:tcPr>
          <w:p>
            <w:pPr>
              <w:spacing w:after="40" w:line="252" w:lineRule="auto"/>
            </w:pPr>
            <w:r>
              <w:rPr>
                <w:b w:val="0"/>
                <w:i w:val="0"/>
                <w:sz w:val="17"/>
              </w:rPr>
              <w:t>1.0</w:t>
            </w:r>
          </w:p>
        </w:tc>
        <w:tc>
          <w:tcPr>
            <w:tcW w:type="dxa" w:w="1134"/>
          </w:tcPr>
          <w:p>
            <w:pPr>
              <w:spacing w:after="40" w:line="252" w:lineRule="auto"/>
            </w:pPr>
            <w:r>
              <w:rPr>
                <w:b w:val="0"/>
                <w:i w:val="0"/>
                <w:sz w:val="17"/>
              </w:rPr>
              <w:t>14 Dec 2026</w:t>
            </w:r>
          </w:p>
        </w:tc>
        <w:tc>
          <w:tcPr>
            <w:tcW w:type="dxa" w:w="2948"/>
          </w:tcPr>
          <w:p>
            <w:pPr>
              <w:spacing w:after="40" w:line="252" w:lineRule="auto"/>
            </w:pPr>
            <w:r>
              <w:rPr>
                <w:b w:val="0"/>
                <w:i w:val="0"/>
                <w:sz w:val="17"/>
              </w:rPr>
              <w:t>First version</w:t>
            </w:r>
          </w:p>
        </w:tc>
        <w:tc>
          <w:tcPr>
            <w:tcW w:type="dxa" w:w="2268"/>
          </w:tcPr>
          <w:p>
            <w:pPr>
              <w:spacing w:after="40" w:line="252" w:lineRule="auto"/>
            </w:pPr>
            <w:r>
              <w:rPr>
                <w:b w:val="0"/>
                <w:i w:val="0"/>
                <w:sz w:val="17"/>
              </w:rPr>
              <w:t>Date of application 30 December 2026</w:t>
            </w:r>
          </w:p>
        </w:tc>
        <w:tc>
          <w:tcPr>
            <w:tcW w:type="dxa" w:w="1134"/>
          </w:tcPr>
          <w:p>
            <w:pPr>
              <w:spacing w:after="40" w:line="252" w:lineRule="auto"/>
            </w:pPr>
            <w:r>
              <w:rPr>
                <w:b w:val="0"/>
                <w:i w:val="0"/>
                <w:sz w:val="17"/>
              </w:rPr>
              <w:t>all</w:t>
            </w:r>
          </w:p>
        </w:tc>
        <w:tc>
          <w:tcPr>
            <w:tcW w:type="dxa" w:w="1417"/>
          </w:tcPr>
          <w:p>
            <w:pPr>
              <w:spacing w:after="40" w:line="252" w:lineRule="auto"/>
            </w:pPr>
            <w:r>
              <w:rPr>
                <w:b w:val="0"/>
                <w:i w:val="0"/>
                <w:sz w:val="17"/>
              </w:rPr>
              <w:t>Management</w:t>
            </w:r>
          </w:p>
        </w:tc>
      </w:tr>
      <w:tr>
        <w:tc>
          <w:tcPr>
            <w:tcW w:type="dxa" w:w="737"/>
          </w:tcPr>
          <w:p>
            <w:pPr>
              <w:spacing w:after="40" w:line="252" w:lineRule="auto"/>
            </w:pPr>
            <w:r>
              <w:rPr>
                <w:b w:val="0"/>
                <w:i w:val="0"/>
                <w:sz w:val="17"/>
              </w:rPr>
              <w:t>1.1</w:t>
            </w:r>
          </w:p>
        </w:tc>
        <w:tc>
          <w:tcPr>
            <w:tcW w:type="dxa" w:w="1134"/>
          </w:tcPr>
          <w:p>
            <w:pPr>
              <w:spacing w:after="40" w:line="252" w:lineRule="auto"/>
            </w:pPr>
            <w:r>
              <w:rPr>
                <w:b w:val="0"/>
                <w:i w:val="0"/>
                <w:sz w:val="17"/>
              </w:rPr>
              <w:t>20 Jan 2027</w:t>
            </w:r>
          </w:p>
        </w:tc>
        <w:tc>
          <w:tcPr>
            <w:tcW w:type="dxa" w:w="2948"/>
          </w:tcPr>
          <w:p>
            <w:pPr>
              <w:spacing w:after="40" w:line="252" w:lineRule="auto"/>
            </w:pPr>
            <w:r>
              <w:rPr>
                <w:b w:val="0"/>
                <w:i w:val="0"/>
                <w:sz w:val="17"/>
              </w:rPr>
              <w:t>Art. 13 withdrawn for VN-2, full assessment; mitigation through a separate line and a monthly mass balance; information to the BLE under Art. 13(2). Goods from this line had not yet been imported (otherwise also Art. 4(5)).</w:t>
            </w:r>
          </w:p>
        </w:tc>
        <w:tc>
          <w:tcPr>
            <w:tcW w:type="dxa" w:w="2268"/>
          </w:tcPr>
          <w:p>
            <w:pPr>
              <w:spacing w:after="40" w:line="252" w:lineRule="auto"/>
            </w:pPr>
            <w:r>
              <w:rPr>
                <w:b w:val="0"/>
                <w:i w:val="0"/>
                <w:sz w:val="17"/>
              </w:rPr>
              <w:t>Factory visit at VN-2 on 12 January 2027: wood of unknown origin is processed on the same line</w:t>
            </w:r>
          </w:p>
        </w:tc>
        <w:tc>
          <w:tcPr>
            <w:tcW w:type="dxa" w:w="1134"/>
          </w:tcPr>
          <w:p>
            <w:pPr>
              <w:spacing w:after="40" w:line="252" w:lineRule="auto"/>
            </w:pPr>
            <w:r>
              <w:rPr>
                <w:b w:val="0"/>
                <w:i w:val="0"/>
                <w:sz w:val="17"/>
              </w:rPr>
              <w:t>2, 5, 6</w:t>
            </w:r>
          </w:p>
        </w:tc>
        <w:tc>
          <w:tcPr>
            <w:tcW w:type="dxa" w:w="1417"/>
          </w:tcPr>
          <w:p>
            <w:pPr>
              <w:spacing w:after="40" w:line="252" w:lineRule="auto"/>
            </w:pPr>
            <w:r>
              <w:rPr>
                <w:b w:val="0"/>
                <w:i w:val="0"/>
                <w:sz w:val="17"/>
              </w:rPr>
              <w:t>Management</w:t>
            </w:r>
          </w:p>
        </w:tc>
      </w:tr>
    </w:tbl>
    <w:p>
      <w:pPr>
        <w:spacing w:after="40"/>
      </w:pPr>
    </w:p>
    <w:p>
      <w:r>
        <w:rPr>
          <w:b/>
        </w:rPr>
        <w:t xml:space="preserve">Distribution: </w:t>
      </w:r>
      <w:r>
        <w:rPr>
          <w:b w:val="0"/>
          <w:i w:val="0"/>
        </w:rPr>
        <w:t>Management, compliance officer, purchasing, quality and sustainability, customs and logistics, warehouse, sales, IT, external audit firm (extract of block 10)</w:t>
      </w:r>
    </w:p>
    <w:p>
      <w:pPr>
        <w:pStyle w:val="Heading1"/>
      </w:pPr>
      <w:r>
        <w:t>How this system is structured</w:t>
      </w:r>
    </w:p>
    <w:p>
      <w:r>
        <w:t>According to its own account, the BLE starts a check from the reference number of one statement and examines the system from there with reference to that delivery (web seminar of 15 October 2026). The building blocks are therefore arranged so that an inspector can go from the delivery (blocks 7 and 8) to assessment and information (blocks 4 to 6) and on to the framework (blocks 1 to 3 and 10 to 12). Each block names its legal basis, the required fields and the record in the file that proves its implementation for a specific delivery.</w:t>
      </w:r>
    </w:p>
    <w:p>
      <w:pPr>
        <w:pStyle w:val="Heading1"/>
      </w:pPr>
      <w:r>
        <w:t>Part A: Framework</w:t>
      </w:r>
    </w:p>
    <w:p>
      <w:pPr>
        <w:pStyle w:val="Heading2"/>
      </w:pPr>
      <w:r>
        <w:t>Building block 1: Scope and company size</w:t>
      </w:r>
    </w:p>
    <w:p>
      <w:r>
        <w:rPr>
          <w:b/>
          <w:sz w:val="18"/>
        </w:rPr>
        <w:t xml:space="preserve">Legal basis: </w:t>
      </w:r>
      <w:r>
        <w:rPr>
          <w:b w:val="0"/>
          <w:i w:val="0"/>
          <w:sz w:val="18"/>
        </w:rPr>
        <w:t>Art. 2(15a) and (30), Art. 38(2) and (3), Annex I as amended by Delegated Regulation (EU) 2026/2102</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Legal entity</w:t>
            </w:r>
          </w:p>
        </w:tc>
        <w:tc>
          <w:tcPr>
            <w:tcW w:type="dxa" w:w="7030"/>
          </w:tcPr>
          <w:p>
            <w:pPr>
              <w:spacing w:after="40" w:line="252" w:lineRule="auto"/>
            </w:pPr>
            <w:r>
              <w:rPr>
                <w:b w:val="0"/>
                <w:i w:val="0"/>
                <w:sz w:val="18"/>
              </w:rPr>
              <w:t>Muster Holz &amp; Möbel GmbH, Musterstadt (fictitious); one company, not part of a group.</w:t>
            </w:r>
          </w:p>
        </w:tc>
      </w:tr>
      <w:tr>
        <w:tc>
          <w:tcPr>
            <w:tcW w:type="dxa" w:w="2608"/>
          </w:tcPr>
          <w:p>
            <w:pPr>
              <w:spacing w:after="40" w:line="252" w:lineRule="auto"/>
            </w:pPr>
            <w:r>
              <w:rPr>
                <w:b/>
                <w:i w:val="0"/>
                <w:sz w:val="18"/>
              </w:rPr>
              <w:t>Sites and warehouses</w:t>
            </w:r>
          </w:p>
        </w:tc>
        <w:tc>
          <w:tcPr>
            <w:tcW w:type="dxa" w:w="7030"/>
          </w:tcPr>
          <w:p>
            <w:pPr>
              <w:spacing w:after="40" w:line="252" w:lineRule="auto"/>
            </w:pPr>
            <w:r>
              <w:rPr>
                <w:b w:val="0"/>
                <w:i w:val="0"/>
                <w:sz w:val="18"/>
              </w:rPr>
              <w:t>Administration and central warehouse in Musterstadt; external warehouse for container goods in a German seaport.</w:t>
            </w:r>
          </w:p>
        </w:tc>
      </w:tr>
      <w:tr>
        <w:tc>
          <w:tcPr>
            <w:tcW w:type="dxa" w:w="2608"/>
          </w:tcPr>
          <w:p>
            <w:pPr>
              <w:spacing w:after="40" w:line="252" w:lineRule="auto"/>
            </w:pPr>
            <w:r>
              <w:rPr>
                <w:b/>
                <w:i w:val="0"/>
                <w:sz w:val="18"/>
              </w:rPr>
              <w:t>Activities</w:t>
            </w:r>
          </w:p>
        </w:tc>
        <w:tc>
          <w:tcPr>
            <w:tcW w:type="dxa" w:w="7030"/>
          </w:tcPr>
          <w:p>
            <w:pPr>
              <w:spacing w:after="40" w:line="252" w:lineRule="auto"/>
            </w:pPr>
            <w:r>
              <w:rPr>
                <w:b w:val="0"/>
                <w:i w:val="0"/>
                <w:sz w:val="18"/>
              </w:rPr>
              <w:t>Imports from Indonesia and Vietnam (operator); purchases within the EU (trader); no manufacturing; no exports. Deliveries to Switzerland are assessed separately before the first order (assigned to quality and sustainability).</w:t>
            </w:r>
          </w:p>
        </w:tc>
      </w:tr>
      <w:tr>
        <w:tc>
          <w:tcPr>
            <w:tcW w:type="dxa" w:w="2608"/>
          </w:tcPr>
          <w:p>
            <w:pPr>
              <w:spacing w:after="40" w:line="252" w:lineRule="auto"/>
            </w:pPr>
            <w:r>
              <w:rPr>
                <w:b/>
                <w:i w:val="0"/>
                <w:sz w:val="18"/>
              </w:rPr>
              <w:t>Products</w:t>
            </w:r>
          </w:p>
        </w:tc>
        <w:tc>
          <w:tcPr>
            <w:tcW w:type="dxa" w:w="7030"/>
          </w:tcPr>
          <w:p>
            <w:pPr>
              <w:spacing w:after="40" w:line="252" w:lineRule="auto"/>
            </w:pPr>
            <w:r>
              <w:rPr>
                <w:b w:val="0"/>
                <w:i w:val="0"/>
                <w:sz w:val="18"/>
              </w:rPr>
              <w:t>14 product groups in headings ex 9403 60, ex 9401 61 00 and ex 9401 69 00, list in Annex B (as of 1 December 2026).</w:t>
            </w:r>
          </w:p>
        </w:tc>
      </w:tr>
      <w:tr>
        <w:tc>
          <w:tcPr>
            <w:tcW w:type="dxa" w:w="2608"/>
          </w:tcPr>
          <w:p>
            <w:pPr>
              <w:spacing w:after="40" w:line="252" w:lineRule="auto"/>
            </w:pPr>
            <w:r>
              <w:rPr>
                <w:b/>
                <w:i w:val="0"/>
                <w:sz w:val="18"/>
              </w:rPr>
              <w:t>Exclusions</w:t>
            </w:r>
          </w:p>
        </w:tc>
        <w:tc>
          <w:tcPr>
            <w:tcW w:type="dxa" w:w="7030"/>
          </w:tcPr>
          <w:p>
            <w:pPr>
              <w:spacing w:after="40" w:line="252" w:lineRule="auto"/>
            </w:pPr>
            <w:r>
              <w:rPr>
                <w:b w:val="0"/>
                <w:i w:val="0"/>
                <w:sz w:val="18"/>
              </w:rPr>
              <w:t>Rattan furniture (not covered, Annex I footnote 4; guidelines section 7(b), question 7); metal furniture without wooden parts.</w:t>
            </w:r>
          </w:p>
        </w:tc>
      </w:tr>
      <w:tr>
        <w:tc>
          <w:tcPr>
            <w:tcW w:type="dxa" w:w="2608"/>
          </w:tcPr>
          <w:p>
            <w:pPr>
              <w:spacing w:after="40" w:line="252" w:lineRule="auto"/>
            </w:pPr>
            <w:r>
              <w:rPr>
                <w:b/>
                <w:i w:val="0"/>
                <w:sz w:val="18"/>
              </w:rPr>
              <w:t>Company size</w:t>
            </w:r>
          </w:p>
        </w:tc>
        <w:tc>
          <w:tcPr>
            <w:tcW w:type="dxa" w:w="7030"/>
          </w:tcPr>
          <w:p>
            <w:pPr>
              <w:spacing w:after="40" w:line="252" w:lineRule="auto"/>
            </w:pPr>
            <w:r>
              <w:rPr>
                <w:b w:val="0"/>
                <w:i w:val="0"/>
                <w:sz w:val="18"/>
              </w:rPr>
              <w:t>Financial year 2025: 310 employees on average, net turnover EUR 78 million, balance sheet total EUR 41 million. All three thresholds of a medium-sized undertaking exceeded: non-SME. Checked on 3 November 2026 by the head of finance.</w:t>
            </w:r>
          </w:p>
        </w:tc>
      </w:tr>
      <w:tr>
        <w:tc>
          <w:tcPr>
            <w:tcW w:type="dxa" w:w="2608"/>
          </w:tcPr>
          <w:p>
            <w:pPr>
              <w:spacing w:after="40" w:line="252" w:lineRule="auto"/>
            </w:pPr>
            <w:r>
              <w:rPr>
                <w:b/>
                <w:i w:val="0"/>
                <w:sz w:val="18"/>
              </w:rPr>
              <w:t>Previous year</w:t>
            </w:r>
          </w:p>
        </w:tc>
        <w:tc>
          <w:tcPr>
            <w:tcW w:type="dxa" w:w="7030"/>
          </w:tcPr>
          <w:p>
            <w:pPr>
              <w:spacing w:after="40" w:line="252" w:lineRule="auto"/>
            </w:pPr>
            <w:r>
              <w:rPr>
                <w:b w:val="0"/>
                <w:i w:val="0"/>
                <w:sz w:val="18"/>
              </w:rPr>
              <w:t>Financial year 2024: all three thresholds also exceeded; no change of size class.</w:t>
            </w:r>
          </w:p>
        </w:tc>
      </w:tr>
      <w:tr>
        <w:tc>
          <w:tcPr>
            <w:tcW w:type="dxa" w:w="2608"/>
          </w:tcPr>
          <w:p>
            <w:pPr>
              <w:spacing w:after="40" w:line="252" w:lineRule="auto"/>
            </w:pPr>
            <w:r>
              <w:rPr>
                <w:b/>
                <w:i w:val="0"/>
                <w:sz w:val="18"/>
              </w:rPr>
              <w:t>Date of application</w:t>
            </w:r>
          </w:p>
        </w:tc>
        <w:tc>
          <w:tcPr>
            <w:tcW w:type="dxa" w:w="7030"/>
          </w:tcPr>
          <w:p>
            <w:pPr>
              <w:spacing w:after="40" w:line="252" w:lineRule="auto"/>
            </w:pPr>
            <w:r>
              <w:rPr>
                <w:b w:val="0"/>
                <w:i w:val="0"/>
                <w:sz w:val="18"/>
              </w:rPr>
              <w:t>30 December 2026 for all products (non-SME).</w:t>
            </w:r>
          </w:p>
        </w:tc>
      </w:tr>
    </w:tbl>
    <w:p>
      <w:pPr>
        <w:spacing w:after="40"/>
      </w:pPr>
    </w:p>
    <w:p>
      <w:r>
        <w:rPr>
          <w:b/>
          <w:sz w:val="18"/>
        </w:rPr>
        <w:t xml:space="preserve">Evidence in the file: </w:t>
      </w:r>
      <w:r>
        <w:rPr>
          <w:b w:val="0"/>
          <w:i w:val="0"/>
          <w:sz w:val="18"/>
        </w:rPr>
        <w:t>Annex B; size calculation with the annual accounts 2024 and 2025</w:t>
      </w:r>
    </w:p>
    <w:p>
      <w:pPr>
        <w:pStyle w:val="Heading2"/>
      </w:pPr>
      <w:r>
        <w:t>Building block 2: Roles per sourcing route</w:t>
      </w:r>
    </w:p>
    <w:p>
      <w:r>
        <w:rPr>
          <w:b/>
          <w:sz w:val="18"/>
        </w:rPr>
        <w:t xml:space="preserve">Legal basis: </w:t>
      </w:r>
      <w:r>
        <w:rPr>
          <w:b w:val="0"/>
          <w:i w:val="0"/>
          <w:sz w:val="18"/>
        </w:rPr>
        <w:t>Art. 2(15), (15b) and (17), Arts. 4, 5, 7 and 13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Sourcing routes</w:t>
            </w:r>
          </w:p>
        </w:tc>
        <w:tc>
          <w:tcPr>
            <w:tcW w:type="dxa" w:w="7030"/>
          </w:tcPr>
          <w:p>
            <w:pPr>
              <w:spacing w:after="40" w:line="252" w:lineRule="auto"/>
            </w:pPr>
            <w:r>
              <w:rPr>
                <w:b w:val="0"/>
                <w:i w:val="0"/>
                <w:sz w:val="18"/>
              </w:rPr>
              <w:t>Three routes under Annex C: A teak furniture imports from Indonesia, B furniture imports from Vietnam, C purchases within the EU.</w:t>
            </w:r>
          </w:p>
        </w:tc>
      </w:tr>
      <w:tr>
        <w:tc>
          <w:tcPr>
            <w:tcW w:type="dxa" w:w="2608"/>
          </w:tcPr>
          <w:p>
            <w:pPr>
              <w:spacing w:after="40" w:line="252" w:lineRule="auto"/>
            </w:pPr>
            <w:r>
              <w:rPr>
                <w:b/>
                <w:i w:val="0"/>
                <w:sz w:val="18"/>
              </w:rPr>
              <w:t>New sourcing routes</w:t>
            </w:r>
          </w:p>
        </w:tc>
        <w:tc>
          <w:tcPr>
            <w:tcW w:type="dxa" w:w="7030"/>
          </w:tcPr>
          <w:p>
            <w:pPr>
              <w:spacing w:after="40" w:line="252" w:lineRule="auto"/>
            </w:pPr>
            <w:r>
              <w:rPr>
                <w:b w:val="0"/>
                <w:i w:val="0"/>
                <w:sz w:val="18"/>
              </w:rPr>
              <w:t>Role check by quality and sustainability before the first order; approval by the compliance officer.</w:t>
            </w:r>
          </w:p>
        </w:tc>
      </w:tr>
      <w:tr>
        <w:tc>
          <w:tcPr>
            <w:tcW w:type="dxa" w:w="2608"/>
          </w:tcPr>
          <w:p>
            <w:pPr>
              <w:spacing w:after="40" w:line="252" w:lineRule="auto"/>
            </w:pPr>
            <w:r>
              <w:rPr>
                <w:b/>
                <w:i w:val="0"/>
                <w:sz w:val="18"/>
              </w:rPr>
              <w:t>Review of roles</w:t>
            </w:r>
          </w:p>
        </w:tc>
        <w:tc>
          <w:tcPr>
            <w:tcW w:type="dxa" w:w="7030"/>
          </w:tcPr>
          <w:p>
            <w:pPr>
              <w:spacing w:after="40" w:line="252" w:lineRule="auto"/>
            </w:pPr>
            <w:r>
              <w:rPr>
                <w:b w:val="0"/>
                <w:i w:val="0"/>
                <w:sz w:val="18"/>
              </w:rPr>
              <w:t>Every November and for every new supplier.</w:t>
            </w:r>
          </w:p>
        </w:tc>
      </w:tr>
    </w:tbl>
    <w:p>
      <w:pPr>
        <w:spacing w:after="40"/>
      </w:pPr>
    </w:p>
    <w:p>
      <w:r>
        <w:rPr>
          <w:b/>
          <w:sz w:val="18"/>
        </w:rPr>
        <w:t xml:space="preserve">Evidence in the file: </w:t>
      </w:r>
      <w:r>
        <w:rPr>
          <w:b w:val="0"/>
          <w:i w:val="0"/>
          <w:sz w:val="18"/>
        </w:rPr>
        <w:t>Annex C with date and initials</w:t>
      </w:r>
    </w:p>
    <w:p>
      <w:pPr>
        <w:pStyle w:val="Heading2"/>
      </w:pPr>
      <w:r>
        <w:t>Building block 3: Accountability and responsibilities</w:t>
      </w:r>
    </w:p>
    <w:p>
      <w:r>
        <w:rPr>
          <w:b/>
          <w:sz w:val="18"/>
        </w:rPr>
        <w:t xml:space="preserve">Legal basis: </w:t>
      </w:r>
      <w:r>
        <w:rPr>
          <w:b w:val="0"/>
          <w:i w:val="0"/>
          <w:sz w:val="18"/>
        </w:rPr>
        <w:t>Art. 11(2), Art. 6; Art. 10(1) of Implementing Regulation (EU) 2024/3084 as amended by Implementing Regulation (EU)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Management</w:t>
            </w:r>
          </w:p>
        </w:tc>
        <w:tc>
          <w:tcPr>
            <w:tcW w:type="dxa" w:w="7030"/>
          </w:tcPr>
          <w:p>
            <w:pPr>
              <w:spacing w:after="40" w:line="252" w:lineRule="auto"/>
            </w:pPr>
            <w:r>
              <w:rPr>
                <w:b w:val="0"/>
                <w:i w:val="0"/>
                <w:sz w:val="18"/>
              </w:rPr>
              <w:t>Management: overall responsibility, approval of the system (version 1.0 on 14 December 2026).</w:t>
            </w:r>
          </w:p>
        </w:tc>
      </w:tr>
      <w:tr>
        <w:tc>
          <w:tcPr>
            <w:tcW w:type="dxa" w:w="2608"/>
          </w:tcPr>
          <w:p>
            <w:pPr>
              <w:spacing w:after="40" w:line="252" w:lineRule="auto"/>
            </w:pPr>
            <w:r>
              <w:rPr>
                <w:b/>
                <w:i w:val="0"/>
                <w:sz w:val="18"/>
              </w:rPr>
              <w:t>Compliance officer</w:t>
            </w:r>
          </w:p>
        </w:tc>
        <w:tc>
          <w:tcPr>
            <w:tcW w:type="dxa" w:w="7030"/>
          </w:tcPr>
          <w:p>
            <w:pPr>
              <w:spacing w:after="40" w:line="252" w:lineRule="auto"/>
            </w:pPr>
            <w:r>
              <w:rPr>
                <w:b w:val="0"/>
                <w:i w:val="0"/>
                <w:sz w:val="18"/>
              </w:rPr>
              <w:t>Head of quality and sustainability, holder of commercial power of attorney (Prokura), reports directly to management, veto over every release; deputy: head of customs and logistics; appointed in writing on 2 November 2026.</w:t>
            </w:r>
          </w:p>
        </w:tc>
      </w:tr>
      <w:tr>
        <w:tc>
          <w:tcPr>
            <w:tcW w:type="dxa" w:w="2608"/>
          </w:tcPr>
          <w:p>
            <w:pPr>
              <w:spacing w:after="40" w:line="252" w:lineRule="auto"/>
            </w:pPr>
            <w:r>
              <w:rPr>
                <w:b/>
                <w:i w:val="0"/>
                <w:sz w:val="18"/>
              </w:rPr>
              <w:t>Process owners</w:t>
            </w:r>
          </w:p>
        </w:tc>
        <w:tc>
          <w:tcPr>
            <w:tcW w:type="dxa" w:w="7030"/>
          </w:tcPr>
          <w:p>
            <w:pPr>
              <w:spacing w:after="40" w:line="252" w:lineRule="auto"/>
            </w:pPr>
            <w:r>
              <w:rPr>
                <w:b w:val="0"/>
                <w:i w:val="0"/>
                <w:sz w:val="18"/>
              </w:rPr>
              <w:t>Blocks 1, 2, 5, 6, 11 and 12: quality and sustainability (EUDR team, two people); blocks 3, 9 and 10: compliance officer; block 4: purchasing; block 7: warehouse with the EUDR team; block 8: customs and logistics.</w:t>
            </w:r>
          </w:p>
        </w:tc>
      </w:tr>
      <w:tr>
        <w:tc>
          <w:tcPr>
            <w:tcW w:type="dxa" w:w="2608"/>
          </w:tcPr>
          <w:p>
            <w:pPr>
              <w:spacing w:after="40" w:line="252" w:lineRule="auto"/>
            </w:pPr>
            <w:r>
              <w:rPr>
                <w:b/>
                <w:i w:val="0"/>
                <w:sz w:val="18"/>
              </w:rPr>
              <w:t>Responsibility matrix</w:t>
            </w:r>
          </w:p>
        </w:tc>
        <w:tc>
          <w:tcPr>
            <w:tcW w:type="dxa" w:w="7030"/>
          </w:tcPr>
          <w:p>
            <w:pPr>
              <w:spacing w:after="40" w:line="252" w:lineRule="auto"/>
            </w:pPr>
            <w:r>
              <w:rPr>
                <w:b w:val="0"/>
                <w:i w:val="0"/>
                <w:sz w:val="18"/>
              </w:rPr>
              <w:t>Annex D.</w:t>
            </w:r>
          </w:p>
        </w:tc>
      </w:tr>
      <w:tr>
        <w:tc>
          <w:tcPr>
            <w:tcW w:type="dxa" w:w="2608"/>
          </w:tcPr>
          <w:p>
            <w:pPr>
              <w:spacing w:after="40" w:line="252" w:lineRule="auto"/>
            </w:pPr>
            <w:r>
              <w:rPr>
                <w:b/>
                <w:i w:val="0"/>
                <w:sz w:val="18"/>
              </w:rPr>
              <w:t>Information system</w:t>
            </w:r>
          </w:p>
        </w:tc>
        <w:tc>
          <w:tcPr>
            <w:tcW w:type="dxa" w:w="7030"/>
          </w:tcPr>
          <w:p>
            <w:pPr>
              <w:spacing w:after="40" w:line="252" w:lineRule="auto"/>
            </w:pPr>
            <w:r>
              <w:rPr>
                <w:b w:val="0"/>
                <w:i w:val="0"/>
                <w:sz w:val="18"/>
              </w:rPr>
              <w:t>ADMIN: head of customs and logistics; second ADMIN: compliance officer. Two people in customs and logistics submit. An ADMIN withdraws access on the last working day (leaver checklist).</w:t>
            </w:r>
          </w:p>
        </w:tc>
      </w:tr>
      <w:tr>
        <w:tc>
          <w:tcPr>
            <w:tcW w:type="dxa" w:w="2608"/>
          </w:tcPr>
          <w:p>
            <w:pPr>
              <w:spacing w:after="40" w:line="252" w:lineRule="auto"/>
            </w:pPr>
            <w:r>
              <w:rPr>
                <w:b/>
                <w:i w:val="0"/>
                <w:sz w:val="18"/>
              </w:rPr>
              <w:t>Authorised representative under Art. 6</w:t>
            </w:r>
          </w:p>
        </w:tc>
        <w:tc>
          <w:tcPr>
            <w:tcW w:type="dxa" w:w="7030"/>
          </w:tcPr>
          <w:p>
            <w:pPr>
              <w:spacing w:after="40" w:line="252" w:lineRule="auto"/>
            </w:pPr>
            <w:r>
              <w:rPr>
                <w:b w:val="0"/>
                <w:i w:val="0"/>
                <w:sz w:val="18"/>
              </w:rPr>
              <w:t>None. The customs service provider acts as customs representative, is not an authorised representative and only receives the reference number.</w:t>
            </w:r>
          </w:p>
        </w:tc>
      </w:tr>
      <w:tr>
        <w:tc>
          <w:tcPr>
            <w:tcW w:type="dxa" w:w="2608"/>
          </w:tcPr>
          <w:p>
            <w:pPr>
              <w:spacing w:after="40" w:line="252" w:lineRule="auto"/>
            </w:pPr>
            <w:r>
              <w:rPr>
                <w:b/>
                <w:i w:val="0"/>
                <w:sz w:val="18"/>
              </w:rPr>
              <w:t>Service providers and tools</w:t>
            </w:r>
          </w:p>
        </w:tc>
        <w:tc>
          <w:tcPr>
            <w:tcW w:type="dxa" w:w="7030"/>
          </w:tcPr>
          <w:p>
            <w:pPr>
              <w:spacing w:after="40" w:line="252" w:lineRule="auto"/>
            </w:pPr>
            <w:r>
              <w:rPr>
                <w:b w:val="0"/>
                <w:i w:val="0"/>
                <w:sz w:val="18"/>
              </w:rPr>
              <w:t>EUDR software for supplier requests, satellite analysis and submission; methodology description available; the EUDR team evaluates the results. Commissioned audit firm for factory visits and the independent audit.</w:t>
            </w:r>
          </w:p>
        </w:tc>
      </w:tr>
      <w:tr>
        <w:tc>
          <w:tcPr>
            <w:tcW w:type="dxa" w:w="2608"/>
          </w:tcPr>
          <w:p>
            <w:pPr>
              <w:spacing w:after="40" w:line="252" w:lineRule="auto"/>
            </w:pPr>
            <w:r>
              <w:rPr>
                <w:b/>
                <w:i w:val="0"/>
                <w:sz w:val="18"/>
              </w:rPr>
              <w:t>Training</w:t>
            </w:r>
          </w:p>
        </w:tc>
        <w:tc>
          <w:tcPr>
            <w:tcW w:type="dxa" w:w="7030"/>
          </w:tcPr>
          <w:p>
            <w:pPr>
              <w:spacing w:after="40" w:line="252" w:lineRule="auto"/>
            </w:pPr>
            <w:r>
              <w:rPr>
                <w:b w:val="0"/>
                <w:i w:val="0"/>
                <w:sz w:val="18"/>
              </w:rPr>
              <w:t>Purchasing, warehouse, sales, customs and logistics in November 2026, then every year; record in Annex H.</w:t>
            </w:r>
          </w:p>
        </w:tc>
      </w:tr>
    </w:tbl>
    <w:p>
      <w:pPr>
        <w:spacing w:after="40"/>
      </w:pPr>
    </w:p>
    <w:p>
      <w:r>
        <w:rPr>
          <w:b/>
          <w:sz w:val="18"/>
        </w:rPr>
        <w:t xml:space="preserve">Evidence in the file: </w:t>
      </w:r>
      <w:r>
        <w:rPr>
          <w:b w:val="0"/>
          <w:i w:val="0"/>
          <w:sz w:val="18"/>
        </w:rPr>
        <w:t>Letter of appointment of 2 November 2026; Annex D; Annex H; contracts with the software provider and the audit firm</w:t>
      </w:r>
    </w:p>
    <w:p>
      <w:pPr>
        <w:pStyle w:val="Heading1"/>
      </w:pPr>
      <w:r>
        <w:t>Part B: Process per delivery</w:t>
      </w:r>
    </w:p>
    <w:p>
      <w:pPr>
        <w:pStyle w:val="Heading2"/>
      </w:pPr>
      <w:r>
        <w:t>Building block 4: Information collection</w:t>
      </w:r>
    </w:p>
    <w:p>
      <w:r>
        <w:rPr>
          <w:b/>
          <w:sz w:val="18"/>
        </w:rPr>
        <w:t xml:space="preserve">Legal basis: </w:t>
      </w:r>
      <w:r>
        <w:rPr>
          <w:b w:val="0"/>
          <w:i w:val="0"/>
          <w:sz w:val="18"/>
        </w:rPr>
        <w:t>Art. 9(1)(a) to (h), Art. 2(28) and (40), Art. 10(3)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Checklist under Art. 9(1)</w:t>
            </w:r>
          </w:p>
        </w:tc>
        <w:tc>
          <w:tcPr>
            <w:tcW w:type="dxa" w:w="7030"/>
          </w:tcPr>
          <w:p>
            <w:pPr>
              <w:spacing w:after="40" w:line="252" w:lineRule="auto"/>
            </w:pPr>
            <w:r>
              <w:rPr>
                <w:b w:val="0"/>
                <w:i w:val="0"/>
                <w:sz w:val="18"/>
              </w:rPr>
              <w:t>Checklist per delivery in the assessment sheet; the supplier is the source for points (a) to (h), purchasing adds points (e) and (f).</w:t>
            </w:r>
          </w:p>
        </w:tc>
      </w:tr>
      <w:tr>
        <w:tc>
          <w:tcPr>
            <w:tcW w:type="dxa" w:w="2608"/>
          </w:tcPr>
          <w:p>
            <w:pPr>
              <w:spacing w:after="40" w:line="252" w:lineRule="auto"/>
            </w:pPr>
            <w:r>
              <w:rPr>
                <w:b/>
                <w:i w:val="0"/>
                <w:sz w:val="18"/>
              </w:rPr>
              <w:t>Supplier request</w:t>
            </w:r>
          </w:p>
        </w:tc>
        <w:tc>
          <w:tcPr>
            <w:tcW w:type="dxa" w:w="7030"/>
          </w:tcPr>
          <w:p>
            <w:pPr>
              <w:spacing w:after="40" w:line="252" w:lineRule="auto"/>
            </w:pPr>
            <w:r>
              <w:rPr>
                <w:b w:val="0"/>
                <w:i w:val="0"/>
                <w:sz w:val="18"/>
              </w:rPr>
              <w:t>Questionnaire with a four-week deadline, reminder after two weeks, escalation to the head of purchasing after the deadline; plots entered through the supplier portal of the EUDR software.</w:t>
            </w:r>
          </w:p>
        </w:tc>
      </w:tr>
      <w:tr>
        <w:tc>
          <w:tcPr>
            <w:tcW w:type="dxa" w:w="2608"/>
          </w:tcPr>
          <w:p>
            <w:pPr>
              <w:spacing w:after="40" w:line="252" w:lineRule="auto"/>
            </w:pPr>
            <w:r>
              <w:rPr>
                <w:b/>
                <w:i w:val="0"/>
                <w:sz w:val="18"/>
              </w:rPr>
              <w:t>Geolocation</w:t>
            </w:r>
          </w:p>
        </w:tc>
        <w:tc>
          <w:tcPr>
            <w:tcW w:type="dxa" w:w="7030"/>
          </w:tcPr>
          <w:p>
            <w:pPr>
              <w:spacing w:after="40" w:line="252" w:lineRule="auto"/>
            </w:pPr>
            <w:r>
              <w:rPr>
                <w:b w:val="0"/>
                <w:i w:val="0"/>
                <w:sz w:val="18"/>
              </w:rPr>
              <w:t>GeoJSON per harvest plot in WGS84 with at least six decimal places; teak plantations over four hectares as polygons; the EUDR team checks every file before use.</w:t>
            </w:r>
          </w:p>
        </w:tc>
      </w:tr>
      <w:tr>
        <w:tc>
          <w:tcPr>
            <w:tcW w:type="dxa" w:w="2608"/>
          </w:tcPr>
          <w:p>
            <w:pPr>
              <w:spacing w:after="40" w:line="252" w:lineRule="auto"/>
            </w:pPr>
            <w:r>
              <w:rPr>
                <w:b/>
                <w:i w:val="0"/>
                <w:sz w:val="18"/>
              </w:rPr>
              <w:t>Tree species</w:t>
            </w:r>
          </w:p>
        </w:tc>
        <w:tc>
          <w:tcPr>
            <w:tcW w:type="dxa" w:w="7030"/>
          </w:tcPr>
          <w:p>
            <w:pPr>
              <w:spacing w:after="40" w:line="252" w:lineRule="auto"/>
            </w:pPr>
            <w:r>
              <w:rPr>
                <w:b w:val="0"/>
                <w:i w:val="0"/>
                <w:sz w:val="18"/>
              </w:rPr>
              <w:t>Tectona grandis (route A); Hevea brasiliensis and Acacia mangium (route B); per component.</w:t>
            </w:r>
          </w:p>
        </w:tc>
      </w:tr>
      <w:tr>
        <w:tc>
          <w:tcPr>
            <w:tcW w:type="dxa" w:w="2608"/>
          </w:tcPr>
          <w:p>
            <w:pPr>
              <w:spacing w:after="40" w:line="252" w:lineRule="auto"/>
            </w:pPr>
            <w:r>
              <w:rPr>
                <w:b/>
                <w:i w:val="0"/>
                <w:sz w:val="18"/>
              </w:rPr>
              <w:t>Legality</w:t>
            </w:r>
          </w:p>
        </w:tc>
        <w:tc>
          <w:tcPr>
            <w:tcW w:type="dxa" w:w="7030"/>
          </w:tcPr>
          <w:p>
            <w:pPr>
              <w:spacing w:after="40" w:line="252" w:lineRule="auto"/>
            </w:pPr>
            <w:r>
              <w:rPr>
                <w:b w:val="0"/>
                <w:i w:val="0"/>
                <w:sz w:val="18"/>
              </w:rPr>
              <w:t>Indonesia: FLEGT licence for each shipment as evidence under Art. 10(3); the EUDR team checks validity and assignment to the shipment and records it. Headings 9401 69 and 9403 60 are within the product scope of the agreement (Annex IA, OJ L 150 of 20 May 2014). Vietnam: evidence according to risk (origin of the wood, harvesting or planting rights); note of which areas of law were checked.</w:t>
            </w:r>
          </w:p>
        </w:tc>
      </w:tr>
      <w:tr>
        <w:tc>
          <w:tcPr>
            <w:tcW w:type="dxa" w:w="2608"/>
          </w:tcPr>
          <w:p>
            <w:pPr>
              <w:spacing w:after="40" w:line="252" w:lineRule="auto"/>
            </w:pPr>
            <w:r>
              <w:rPr>
                <w:b/>
                <w:i w:val="0"/>
                <w:sz w:val="18"/>
              </w:rPr>
              <w:t>Completeness</w:t>
            </w:r>
          </w:p>
        </w:tc>
        <w:tc>
          <w:tcPr>
            <w:tcW w:type="dxa" w:w="7030"/>
          </w:tcPr>
          <w:p>
            <w:pPr>
              <w:spacing w:after="40" w:line="252" w:lineRule="auto"/>
            </w:pPr>
            <w:r>
              <w:rPr>
                <w:b w:val="0"/>
                <w:i w:val="0"/>
                <w:sz w:val="18"/>
              </w:rPr>
              <w:t>Checklist complete and geodata file checked before the assessment; checked by the EUDR team.</w:t>
            </w:r>
          </w:p>
        </w:tc>
      </w:tr>
      <w:tr>
        <w:tc>
          <w:tcPr>
            <w:tcW w:type="dxa" w:w="2608"/>
          </w:tcPr>
          <w:p>
            <w:pPr>
              <w:spacing w:after="40" w:line="252" w:lineRule="auto"/>
            </w:pPr>
            <w:r>
              <w:rPr>
                <w:b/>
                <w:i w:val="0"/>
                <w:sz w:val="18"/>
              </w:rPr>
              <w:t>Handling gaps</w:t>
            </w:r>
          </w:p>
        </w:tc>
        <w:tc>
          <w:tcPr>
            <w:tcW w:type="dxa" w:w="7030"/>
          </w:tcPr>
          <w:p>
            <w:pPr>
              <w:spacing w:after="40" w:line="252" w:lineRule="auto"/>
            </w:pPr>
            <w:r>
              <w:rPr>
                <w:b w:val="0"/>
                <w:i w:val="0"/>
                <w:sz w:val="18"/>
              </w:rPr>
              <w:t>No order without complete information; purchasing resolves gaps within two weeks, otherwise the item is blocked.</w:t>
            </w:r>
          </w:p>
        </w:tc>
      </w:tr>
    </w:tbl>
    <w:p>
      <w:pPr>
        <w:spacing w:after="40"/>
      </w:pPr>
    </w:p>
    <w:p>
      <w:r>
        <w:rPr>
          <w:b/>
          <w:sz w:val="18"/>
        </w:rPr>
        <w:t xml:space="preserve">Evidence in the file: </w:t>
      </w:r>
      <w:r>
        <w:rPr>
          <w:b w:val="0"/>
          <w:i w:val="0"/>
          <w:sz w:val="18"/>
        </w:rPr>
        <w:t>Supplier file per manufacturer, geodata files with check record, FLEGT licences with check note</w:t>
      </w:r>
    </w:p>
    <w:p>
      <w:pPr>
        <w:pStyle w:val="Heading2"/>
      </w:pPr>
      <w:r>
        <w:t>Building block 5: Risk assessment and simplified due diligence</w:t>
      </w:r>
    </w:p>
    <w:p>
      <w:r>
        <w:rPr>
          <w:b/>
          <w:sz w:val="18"/>
        </w:rPr>
        <w:t xml:space="preserve">Legal basis: </w:t>
      </w:r>
      <w:r>
        <w:rPr>
          <w:b w:val="0"/>
          <w:i w:val="0"/>
          <w:sz w:val="18"/>
        </w:rPr>
        <w:t>Arts. 10 and 13, Art. 29 with Implementing Regulation (EU) 2025/1093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Unit of assessment</w:t>
            </w:r>
          </w:p>
        </w:tc>
        <w:tc>
          <w:tcPr>
            <w:tcW w:type="dxa" w:w="7030"/>
          </w:tcPr>
          <w:p>
            <w:pPr>
              <w:spacing w:after="40" w:line="252" w:lineRule="auto"/>
            </w:pPr>
            <w:r>
              <w:rPr>
                <w:b w:val="0"/>
                <w:i w:val="0"/>
                <w:sz w:val="18"/>
              </w:rPr>
              <w:t>Route A per manufacturer and plantation; route B per manufacturer; for several plantations per plantation.</w:t>
            </w:r>
          </w:p>
        </w:tc>
      </w:tr>
      <w:tr>
        <w:tc>
          <w:tcPr>
            <w:tcW w:type="dxa" w:w="2608"/>
          </w:tcPr>
          <w:p>
            <w:pPr>
              <w:spacing w:after="40" w:line="252" w:lineRule="auto"/>
            </w:pPr>
            <w:r>
              <w:rPr>
                <w:b/>
                <w:i w:val="0"/>
                <w:sz w:val="18"/>
              </w:rPr>
              <w:t>Criteria</w:t>
            </w:r>
          </w:p>
        </w:tc>
        <w:tc>
          <w:tcPr>
            <w:tcW w:type="dxa" w:w="7030"/>
          </w:tcPr>
          <w:p>
            <w:pPr>
              <w:spacing w:after="40" w:line="252" w:lineRule="auto"/>
            </w:pPr>
            <w:r>
              <w:rPr>
                <w:b w:val="0"/>
                <w:i w:val="0"/>
                <w:sz w:val="18"/>
              </w:rPr>
              <w:t>Art. 10(2)(a) to (n) in the assessment sheet with check question, source and reasons per criterion.</w:t>
            </w:r>
          </w:p>
        </w:tc>
      </w:tr>
      <w:tr>
        <w:tc>
          <w:tcPr>
            <w:tcW w:type="dxa" w:w="2608"/>
          </w:tcPr>
          <w:p>
            <w:pPr>
              <w:spacing w:after="40" w:line="252" w:lineRule="auto"/>
            </w:pPr>
            <w:r>
              <w:rPr>
                <w:b/>
                <w:i w:val="0"/>
                <w:sz w:val="18"/>
              </w:rPr>
              <w:t>Rating</w:t>
            </w:r>
          </w:p>
        </w:tc>
        <w:tc>
          <w:tcPr>
            <w:tcW w:type="dxa" w:w="7030"/>
          </w:tcPr>
          <w:p>
            <w:pPr>
              <w:spacing w:after="40" w:line="252" w:lineRule="auto"/>
            </w:pPr>
            <w:r>
              <w:rPr>
                <w:b w:val="0"/>
                <w:i w:val="0"/>
                <w:sz w:val="18"/>
              </w:rPr>
              <w:t>Negligible, non-negligible or not applicable, with reasons for each criterion. Route A: criterion (j) (mixing) initially non-negligible for ID-2, because ID-2 buys in residual wood from other plantations; mitigation see block 6.</w:t>
            </w:r>
          </w:p>
        </w:tc>
      </w:tr>
      <w:tr>
        <w:tc>
          <w:tcPr>
            <w:tcW w:type="dxa" w:w="2608"/>
          </w:tcPr>
          <w:p>
            <w:pPr>
              <w:spacing w:after="40" w:line="252" w:lineRule="auto"/>
            </w:pPr>
            <w:r>
              <w:rPr>
                <w:b/>
                <w:i w:val="0"/>
                <w:sz w:val="18"/>
              </w:rPr>
              <w:t>Overall rule</w:t>
            </w:r>
          </w:p>
        </w:tc>
        <w:tc>
          <w:tcPr>
            <w:tcW w:type="dxa" w:w="7030"/>
          </w:tcPr>
          <w:p>
            <w:pPr>
              <w:spacing w:after="40" w:line="252" w:lineRule="auto"/>
            </w:pPr>
            <w:r>
              <w:rPr>
                <w:b w:val="0"/>
                <w:i w:val="0"/>
                <w:sz w:val="18"/>
              </w:rPr>
              <w:t>One non-negligible criterion makes the overall result non-negligible.</w:t>
            </w:r>
          </w:p>
        </w:tc>
      </w:tr>
      <w:tr>
        <w:tc>
          <w:tcPr>
            <w:tcW w:type="dxa" w:w="2608"/>
          </w:tcPr>
          <w:p>
            <w:pPr>
              <w:spacing w:after="40" w:line="252" w:lineRule="auto"/>
            </w:pPr>
            <w:r>
              <w:rPr>
                <w:b/>
                <w:i w:val="0"/>
                <w:sz w:val="18"/>
              </w:rPr>
              <w:t>Country risk</w:t>
            </w:r>
          </w:p>
        </w:tc>
        <w:tc>
          <w:tcPr>
            <w:tcW w:type="dxa" w:w="7030"/>
          </w:tcPr>
          <w:p>
            <w:pPr>
              <w:spacing w:after="40" w:line="252" w:lineRule="auto"/>
            </w:pPr>
            <w:r>
              <w:rPr>
                <w:b w:val="0"/>
                <w:i w:val="0"/>
                <w:sz w:val="18"/>
              </w:rPr>
              <w:t>Implementing Regulation (EU) 2025/1093; list checked on 1 December 2026: Vietnam low risk, Indonesia standard risk.</w:t>
            </w:r>
          </w:p>
        </w:tc>
      </w:tr>
      <w:tr>
        <w:tc>
          <w:tcPr>
            <w:tcW w:type="dxa" w:w="2608"/>
          </w:tcPr>
          <w:p>
            <w:pPr>
              <w:spacing w:after="40" w:line="252" w:lineRule="auto"/>
            </w:pPr>
            <w:r>
              <w:rPr>
                <w:b/>
                <w:i w:val="0"/>
                <w:sz w:val="18"/>
              </w:rPr>
              <w:t>Tools</w:t>
            </w:r>
          </w:p>
        </w:tc>
        <w:tc>
          <w:tcPr>
            <w:tcW w:type="dxa" w:w="7030"/>
          </w:tcPr>
          <w:p>
            <w:pPr>
              <w:spacing w:after="40" w:line="252" w:lineRule="auto"/>
            </w:pPr>
            <w:r>
              <w:rPr>
                <w:b w:val="0"/>
                <w:i w:val="0"/>
                <w:sz w:val="18"/>
              </w:rPr>
              <w:t>Satellite analysis of the EUDR software against 31 December 2020; methodology description in the file; evaluated by the EUDR team.</w:t>
            </w:r>
          </w:p>
        </w:tc>
      </w:tr>
      <w:tr>
        <w:tc>
          <w:tcPr>
            <w:tcW w:type="dxa" w:w="2608"/>
          </w:tcPr>
          <w:p>
            <w:pPr>
              <w:spacing w:after="40" w:line="252" w:lineRule="auto"/>
            </w:pPr>
            <w:r>
              <w:rPr>
                <w:b/>
                <w:i w:val="0"/>
                <w:sz w:val="18"/>
              </w:rPr>
              <w:t>Article 13 route</w:t>
            </w:r>
          </w:p>
        </w:tc>
        <w:tc>
          <w:tcPr>
            <w:tcW w:type="dxa" w:w="7030"/>
          </w:tcPr>
          <w:p>
            <w:pPr>
              <w:spacing w:after="40" w:line="252" w:lineRule="auto"/>
            </w:pPr>
            <w:r>
              <w:rPr>
                <w:b w:val="0"/>
                <w:i w:val="0"/>
                <w:sz w:val="18"/>
              </w:rPr>
              <w:t>Route B: assessment of complexity and of the risk of circumvention and mixing documented per manufacturer; VN-1 and VN-2 simplified due diligence; VN-3 full assessment because it buys in wood from standard-risk countries.</w:t>
            </w:r>
          </w:p>
        </w:tc>
      </w:tr>
      <w:tr>
        <w:tc>
          <w:tcPr>
            <w:tcW w:type="dxa" w:w="2608"/>
          </w:tcPr>
          <w:p>
            <w:pPr>
              <w:spacing w:after="40" w:line="252" w:lineRule="auto"/>
            </w:pPr>
            <w:r>
              <w:rPr>
                <w:b/>
                <w:i w:val="0"/>
                <w:sz w:val="18"/>
              </w:rPr>
              <w:t>Review</w:t>
            </w:r>
          </w:p>
        </w:tc>
        <w:tc>
          <w:tcPr>
            <w:tcW w:type="dxa" w:w="7030"/>
          </w:tcPr>
          <w:p>
            <w:pPr>
              <w:spacing w:after="40" w:line="252" w:lineRule="auto"/>
            </w:pPr>
            <w:r>
              <w:rPr>
                <w:b w:val="0"/>
                <w:i w:val="0"/>
                <w:sz w:val="18"/>
              </w:rPr>
              <w:t>Every November and on triggers under block 12.</w:t>
            </w:r>
          </w:p>
        </w:tc>
      </w:tr>
    </w:tbl>
    <w:p>
      <w:pPr>
        <w:spacing w:after="40"/>
      </w:pPr>
    </w:p>
    <w:p>
      <w:r>
        <w:rPr>
          <w:b/>
          <w:sz w:val="18"/>
        </w:rPr>
        <w:t xml:space="preserve">Evidence in the file: </w:t>
      </w:r>
      <w:r>
        <w:rPr>
          <w:b w:val="0"/>
          <w:i w:val="0"/>
          <w:sz w:val="18"/>
        </w:rPr>
        <w:t>Assessment sheet per manufacturer and plantation with date, author and approval</w:t>
      </w:r>
    </w:p>
    <w:p>
      <w:pPr>
        <w:pStyle w:val="Heading2"/>
      </w:pPr>
      <w:r>
        <w:t>Building block 6: Risk mitigation</w:t>
      </w:r>
    </w:p>
    <w:p>
      <w:r>
        <w:rPr>
          <w:b/>
          <w:sz w:val="18"/>
        </w:rPr>
        <w:t xml:space="preserve">Legal basis: </w:t>
      </w:r>
      <w:r>
        <w:rPr>
          <w:b w:val="0"/>
          <w:i w:val="0"/>
          <w:sz w:val="18"/>
        </w:rPr>
        <w:t>Art. 11(1) and (3), Art. 4(4)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Measures catalogue</w:t>
            </w:r>
          </w:p>
        </w:tc>
        <w:tc>
          <w:tcPr>
            <w:tcW w:type="dxa" w:w="7030"/>
          </w:tcPr>
          <w:p>
            <w:pPr>
              <w:spacing w:after="40" w:line="252" w:lineRule="auto"/>
            </w:pPr>
            <w:r>
              <w:rPr>
                <w:b w:val="0"/>
                <w:i w:val="0"/>
                <w:sz w:val="18"/>
              </w:rPr>
              <w:t>Annex E; starting point is the catalogue in the Excel risk assessment template.</w:t>
            </w:r>
          </w:p>
        </w:tc>
      </w:tr>
      <w:tr>
        <w:tc>
          <w:tcPr>
            <w:tcW w:type="dxa" w:w="2608"/>
          </w:tcPr>
          <w:p>
            <w:pPr>
              <w:spacing w:after="40" w:line="252" w:lineRule="auto"/>
            </w:pPr>
            <w:r>
              <w:rPr>
                <w:b/>
                <w:i w:val="0"/>
                <w:sz w:val="18"/>
              </w:rPr>
              <w:t>Decision</w:t>
            </w:r>
          </w:p>
        </w:tc>
        <w:tc>
          <w:tcPr>
            <w:tcW w:type="dxa" w:w="7030"/>
          </w:tcPr>
          <w:p>
            <w:pPr>
              <w:spacing w:after="40" w:line="252" w:lineRule="auto"/>
            </w:pPr>
            <w:r>
              <w:rPr>
                <w:b w:val="0"/>
                <w:i w:val="0"/>
                <w:sz w:val="18"/>
              </w:rPr>
              <w:t>EUDR team, countersigned by the compliance officer.</w:t>
            </w:r>
          </w:p>
        </w:tc>
      </w:tr>
      <w:tr>
        <w:tc>
          <w:tcPr>
            <w:tcW w:type="dxa" w:w="2608"/>
          </w:tcPr>
          <w:p>
            <w:pPr>
              <w:spacing w:after="40" w:line="252" w:lineRule="auto"/>
            </w:pPr>
            <w:r>
              <w:rPr>
                <w:b/>
                <w:i w:val="0"/>
                <w:sz w:val="18"/>
              </w:rPr>
              <w:t>Reassessment</w:t>
            </w:r>
          </w:p>
        </w:tc>
        <w:tc>
          <w:tcPr>
            <w:tcW w:type="dxa" w:w="7030"/>
          </w:tcPr>
          <w:p>
            <w:pPr>
              <w:spacing w:after="40" w:line="252" w:lineRule="auto"/>
            </w:pPr>
            <w:r>
              <w:rPr>
                <w:b w:val="0"/>
                <w:i w:val="0"/>
                <w:sz w:val="18"/>
              </w:rPr>
              <w:t>After each measure by the EUDR team, before the next release.</w:t>
            </w:r>
          </w:p>
        </w:tc>
      </w:tr>
      <w:tr>
        <w:tc>
          <w:tcPr>
            <w:tcW w:type="dxa" w:w="2608"/>
          </w:tcPr>
          <w:p>
            <w:pPr>
              <w:spacing w:after="40" w:line="252" w:lineRule="auto"/>
            </w:pPr>
            <w:r>
              <w:rPr>
                <w:b/>
                <w:i w:val="0"/>
                <w:sz w:val="18"/>
              </w:rPr>
              <w:t>Termination and block</w:t>
            </w:r>
          </w:p>
        </w:tc>
        <w:tc>
          <w:tcPr>
            <w:tcW w:type="dxa" w:w="7030"/>
          </w:tcPr>
          <w:p>
            <w:pPr>
              <w:spacing w:after="40" w:line="252" w:lineRule="auto"/>
            </w:pPr>
            <w:r>
              <w:rPr>
                <w:b w:val="0"/>
                <w:i w:val="0"/>
                <w:sz w:val="18"/>
              </w:rPr>
              <w:t>If a criterion remains non-negligible, the manufacturer is blocked for the route concerned until an effective measure is shown; only the compliance officer can lift the block.</w:t>
            </w:r>
          </w:p>
        </w:tc>
      </w:tr>
      <w:tr>
        <w:tc>
          <w:tcPr>
            <w:tcW w:type="dxa" w:w="2608"/>
          </w:tcPr>
          <w:p>
            <w:pPr>
              <w:spacing w:after="40" w:line="252" w:lineRule="auto"/>
            </w:pPr>
            <w:r>
              <w:rPr>
                <w:b/>
                <w:i w:val="0"/>
                <w:sz w:val="18"/>
              </w:rPr>
              <w:t>Mixing at processing sites</w:t>
            </w:r>
          </w:p>
        </w:tc>
        <w:tc>
          <w:tcPr>
            <w:tcW w:type="dxa" w:w="7030"/>
          </w:tcPr>
          <w:p>
            <w:pPr>
              <w:spacing w:after="40" w:line="252" w:lineRule="auto"/>
            </w:pPr>
            <w:r>
              <w:rPr>
                <w:b w:val="0"/>
                <w:i w:val="0"/>
                <w:sz w:val="18"/>
              </w:rPr>
              <w:t>Input-output overview per manufacturer with its own production; for ID-2 separate storage and a monthly mass balance.</w:t>
            </w:r>
          </w:p>
        </w:tc>
      </w:tr>
      <w:tr>
        <w:tc>
          <w:tcPr>
            <w:tcW w:type="dxa" w:w="2608"/>
          </w:tcPr>
          <w:p>
            <w:pPr>
              <w:spacing w:after="40" w:line="252" w:lineRule="auto"/>
            </w:pPr>
            <w:r>
              <w:rPr>
                <w:b/>
                <w:i w:val="0"/>
                <w:sz w:val="18"/>
              </w:rPr>
              <w:t>Documentation</w:t>
            </w:r>
          </w:p>
        </w:tc>
        <w:tc>
          <w:tcPr>
            <w:tcW w:type="dxa" w:w="7030"/>
          </w:tcPr>
          <w:p>
            <w:pPr>
              <w:spacing w:after="40" w:line="252" w:lineRule="auto"/>
            </w:pPr>
            <w:r>
              <w:rPr>
                <w:b w:val="0"/>
                <w:i w:val="0"/>
                <w:sz w:val="18"/>
              </w:rPr>
              <w:t>Decision record in the assessment sheet: finding, measure, evidence, result, decision maker, date.</w:t>
            </w:r>
          </w:p>
        </w:tc>
      </w:tr>
      <w:tr>
        <w:tc>
          <w:tcPr>
            <w:tcW w:type="dxa" w:w="2608"/>
          </w:tcPr>
          <w:p>
            <w:pPr>
              <w:spacing w:after="40" w:line="252" w:lineRule="auto"/>
            </w:pPr>
            <w:r>
              <w:rPr>
                <w:b/>
                <w:i w:val="0"/>
                <w:sz w:val="18"/>
              </w:rPr>
              <w:t>Review</w:t>
            </w:r>
          </w:p>
        </w:tc>
        <w:tc>
          <w:tcPr>
            <w:tcW w:type="dxa" w:w="7030"/>
          </w:tcPr>
          <w:p>
            <w:pPr>
              <w:spacing w:after="40" w:line="252" w:lineRule="auto"/>
            </w:pPr>
            <w:r>
              <w:rPr>
                <w:b w:val="0"/>
                <w:i w:val="0"/>
                <w:sz w:val="18"/>
              </w:rPr>
              <w:t>Every November together with the risk assessment.</w:t>
            </w:r>
          </w:p>
        </w:tc>
      </w:tr>
    </w:tbl>
    <w:p>
      <w:pPr>
        <w:spacing w:after="40"/>
      </w:pPr>
    </w:p>
    <w:p>
      <w:r>
        <w:rPr>
          <w:b/>
          <w:sz w:val="18"/>
        </w:rPr>
        <w:t xml:space="preserve">Evidence in the file: </w:t>
      </w:r>
      <w:r>
        <w:rPr>
          <w:b w:val="0"/>
          <w:i w:val="0"/>
          <w:sz w:val="18"/>
        </w:rPr>
        <w:t>Decision records M-01 to M-03 (Annex E) with the result of the reassessment</w:t>
      </w:r>
    </w:p>
    <w:p>
      <w:pPr>
        <w:pStyle w:val="Heading2"/>
      </w:pPr>
      <w:r>
        <w:t>Building block 7: Release and flow of goods</w:t>
      </w:r>
    </w:p>
    <w:p>
      <w:r>
        <w:rPr>
          <w:b/>
          <w:sz w:val="18"/>
        </w:rPr>
        <w:t xml:space="preserve">Legal basis: </w:t>
      </w:r>
      <w:r>
        <w:rPr>
          <w:b w:val="0"/>
          <w:i w:val="0"/>
          <w:sz w:val="18"/>
        </w:rPr>
        <w:t>Art. 3, Art. 4(1) and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Release point</w:t>
            </w:r>
          </w:p>
        </w:tc>
        <w:tc>
          <w:tcPr>
            <w:tcW w:type="dxa" w:w="7030"/>
          </w:tcPr>
          <w:p>
            <w:pPr>
              <w:spacing w:after="40" w:line="252" w:lineRule="auto"/>
            </w:pPr>
            <w:r>
              <w:rPr>
                <w:b w:val="0"/>
                <w:i w:val="0"/>
                <w:sz w:val="18"/>
              </w:rPr>
              <w:t>Before the customs order, so before the customs declaration.</w:t>
            </w:r>
          </w:p>
        </w:tc>
      </w:tr>
      <w:tr>
        <w:tc>
          <w:tcPr>
            <w:tcW w:type="dxa" w:w="2608"/>
          </w:tcPr>
          <w:p>
            <w:pPr>
              <w:spacing w:after="40" w:line="252" w:lineRule="auto"/>
            </w:pPr>
            <w:r>
              <w:rPr>
                <w:b/>
                <w:i w:val="0"/>
                <w:sz w:val="18"/>
              </w:rPr>
              <w:t>Release criteria</w:t>
            </w:r>
          </w:p>
        </w:tc>
        <w:tc>
          <w:tcPr>
            <w:tcW w:type="dxa" w:w="7030"/>
          </w:tcPr>
          <w:p>
            <w:pPr>
              <w:spacing w:after="40" w:line="252" w:lineRule="auto"/>
            </w:pPr>
            <w:r>
              <w:rPr>
                <w:b w:val="0"/>
                <w:i w:val="0"/>
                <w:sz w:val="18"/>
              </w:rPr>
              <w:t>Checklist complete, result negligible or negligible after mitigation, statement covers the quantity.</w:t>
            </w:r>
          </w:p>
        </w:tc>
      </w:tr>
      <w:tr>
        <w:tc>
          <w:tcPr>
            <w:tcW w:type="dxa" w:w="2608"/>
          </w:tcPr>
          <w:p>
            <w:pPr>
              <w:spacing w:after="40" w:line="252" w:lineRule="auto"/>
            </w:pPr>
            <w:r>
              <w:rPr>
                <w:b/>
                <w:i w:val="0"/>
                <w:sz w:val="18"/>
              </w:rPr>
              <w:t>Released by</w:t>
            </w:r>
          </w:p>
        </w:tc>
        <w:tc>
          <w:tcPr>
            <w:tcW w:type="dxa" w:w="7030"/>
          </w:tcPr>
          <w:p>
            <w:pPr>
              <w:spacing w:after="40" w:line="252" w:lineRule="auto"/>
            </w:pPr>
            <w:r>
              <w:rPr>
                <w:b w:val="0"/>
                <w:i w:val="0"/>
                <w:sz w:val="18"/>
              </w:rPr>
              <w:t>EUDR team with a second person from quality and sustainability (four-eyes principle); veto of the compliance officer.</w:t>
            </w:r>
          </w:p>
        </w:tc>
      </w:tr>
      <w:tr>
        <w:tc>
          <w:tcPr>
            <w:tcW w:type="dxa" w:w="2608"/>
          </w:tcPr>
          <w:p>
            <w:pPr>
              <w:spacing w:after="40" w:line="252" w:lineRule="auto"/>
            </w:pPr>
            <w:r>
              <w:rPr>
                <w:b/>
                <w:i w:val="0"/>
                <w:sz w:val="18"/>
              </w:rPr>
              <w:t>Technical block</w:t>
            </w:r>
          </w:p>
        </w:tc>
        <w:tc>
          <w:tcPr>
            <w:tcW w:type="dxa" w:w="7030"/>
          </w:tcPr>
          <w:p>
            <w:pPr>
              <w:spacing w:after="40" w:line="252" w:lineRule="auto"/>
            </w:pPr>
            <w:r>
              <w:rPr>
                <w:b w:val="0"/>
                <w:i w:val="0"/>
                <w:sz w:val="18"/>
              </w:rPr>
              <w:t>Status “EUDR cleared” on each order line in the merchandise management system; no customs order without it. Only the EUDR team sets the status.</w:t>
            </w:r>
          </w:p>
        </w:tc>
      </w:tr>
      <w:tr>
        <w:tc>
          <w:tcPr>
            <w:tcW w:type="dxa" w:w="2608"/>
          </w:tcPr>
          <w:p>
            <w:pPr>
              <w:spacing w:after="40" w:line="252" w:lineRule="auto"/>
            </w:pPr>
            <w:r>
              <w:rPr>
                <w:b/>
                <w:i w:val="0"/>
                <w:sz w:val="18"/>
              </w:rPr>
              <w:t>Labelling</w:t>
            </w:r>
          </w:p>
        </w:tc>
        <w:tc>
          <w:tcPr>
            <w:tcW w:type="dxa" w:w="7030"/>
          </w:tcPr>
          <w:p>
            <w:pPr>
              <w:spacing w:after="40" w:line="252" w:lineRule="auto"/>
            </w:pPr>
            <w:r>
              <w:rPr>
                <w:b w:val="0"/>
                <w:i w:val="0"/>
                <w:sz w:val="18"/>
              </w:rPr>
              <w:t>Reference number per item on the customs order, invoice and delivery note.</w:t>
            </w:r>
          </w:p>
        </w:tc>
      </w:tr>
      <w:tr>
        <w:tc>
          <w:tcPr>
            <w:tcW w:type="dxa" w:w="2608"/>
          </w:tcPr>
          <w:p>
            <w:pPr>
              <w:spacing w:after="40" w:line="252" w:lineRule="auto"/>
            </w:pPr>
            <w:r>
              <w:rPr>
                <w:b/>
                <w:i w:val="0"/>
                <w:sz w:val="18"/>
              </w:rPr>
              <w:t>Warehouse</w:t>
            </w:r>
          </w:p>
        </w:tc>
        <w:tc>
          <w:tcPr>
            <w:tcW w:type="dxa" w:w="7030"/>
          </w:tcPr>
          <w:p>
            <w:pPr>
              <w:spacing w:after="40" w:line="252" w:lineRule="auto"/>
            </w:pPr>
            <w:r>
              <w:rPr>
                <w:b w:val="0"/>
                <w:i w:val="0"/>
                <w:sz w:val="18"/>
              </w:rPr>
              <w:t>Imported goods are booked with the reference number; old stock imported before 30 December 2026 is booked separately.</w:t>
            </w:r>
          </w:p>
        </w:tc>
      </w:tr>
      <w:tr>
        <w:tc>
          <w:tcPr>
            <w:tcW w:type="dxa" w:w="2608"/>
          </w:tcPr>
          <w:p>
            <w:pPr>
              <w:spacing w:after="40" w:line="252" w:lineRule="auto"/>
            </w:pPr>
            <w:r>
              <w:rPr>
                <w:b/>
                <w:i w:val="0"/>
                <w:sz w:val="18"/>
              </w:rPr>
              <w:t>Quantity reconciliation</w:t>
            </w:r>
          </w:p>
        </w:tc>
        <w:tc>
          <w:tcPr>
            <w:tcW w:type="dxa" w:w="7030"/>
          </w:tcPr>
          <w:p>
            <w:pPr>
              <w:spacing w:after="40" w:line="252" w:lineRule="auto"/>
            </w:pPr>
            <w:r>
              <w:rPr>
                <w:b w:val="0"/>
                <w:i w:val="0"/>
                <w:sz w:val="18"/>
              </w:rPr>
              <w:t>Monthly by quality and sustainability.</w:t>
            </w:r>
          </w:p>
        </w:tc>
      </w:tr>
    </w:tbl>
    <w:p>
      <w:pPr>
        <w:spacing w:after="40"/>
      </w:pPr>
    </w:p>
    <w:p>
      <w:r>
        <w:rPr>
          <w:b/>
          <w:sz w:val="18"/>
        </w:rPr>
        <w:t xml:space="preserve">Evidence in the file: </w:t>
      </w:r>
      <w:r>
        <w:rPr>
          <w:b w:val="0"/>
          <w:i w:val="0"/>
          <w:sz w:val="18"/>
        </w:rPr>
        <w:t>Release record per order line, warehouse posting</w:t>
      </w:r>
    </w:p>
    <w:p>
      <w:pPr>
        <w:pStyle w:val="Heading2"/>
      </w:pPr>
      <w:r>
        <w:t>Building block 8: Due diligence statement, reference numbers, customs</w:t>
      </w:r>
    </w:p>
    <w:p>
      <w:r>
        <w:rPr>
          <w:b/>
          <w:sz w:val="18"/>
        </w:rPr>
        <w:t xml:space="preserve">Legal basis: </w:t>
      </w:r>
      <w:r>
        <w:rPr>
          <w:b w:val="0"/>
          <w:i w:val="0"/>
          <w:sz w:val="18"/>
        </w:rPr>
        <w:t>Art. 4(2), (3) and (7), Art. 6, Art. 26(4); Arts. 8a and 15a of Implementing Regulation (EU) 2024/3084 as amended by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Preparation and submission</w:t>
            </w:r>
          </w:p>
        </w:tc>
        <w:tc>
          <w:tcPr>
            <w:tcW w:type="dxa" w:w="7030"/>
          </w:tcPr>
          <w:p>
            <w:pPr>
              <w:spacing w:after="40" w:line="252" w:lineRule="auto"/>
            </w:pPr>
            <w:r>
              <w:rPr>
                <w:b w:val="0"/>
                <w:i w:val="0"/>
                <w:sz w:val="18"/>
              </w:rPr>
              <w:t>Prepared by the EUDR team, submitted by customs and logistics through the interface of the EUDR software; no authorised representative.</w:t>
            </w:r>
          </w:p>
        </w:tc>
      </w:tr>
      <w:tr>
        <w:tc>
          <w:tcPr>
            <w:tcW w:type="dxa" w:w="2608"/>
          </w:tcPr>
          <w:p>
            <w:pPr>
              <w:spacing w:after="40" w:line="252" w:lineRule="auto"/>
            </w:pPr>
            <w:r>
              <w:rPr>
                <w:b/>
                <w:i w:val="0"/>
                <w:sz w:val="18"/>
              </w:rPr>
              <w:t>Type of statement</w:t>
            </w:r>
          </w:p>
        </w:tc>
        <w:tc>
          <w:tcPr>
            <w:tcW w:type="dxa" w:w="7030"/>
          </w:tcPr>
          <w:p>
            <w:pPr>
              <w:spacing w:after="40" w:line="252" w:lineRule="auto"/>
            </w:pPr>
            <w:r>
              <w:rPr>
                <w:b w:val="0"/>
                <w:i w:val="0"/>
                <w:sz w:val="18"/>
              </w:rPr>
              <w:t>Annual statement per manufacturer and product group, covering no more than twelve months from submission.</w:t>
            </w:r>
          </w:p>
        </w:tc>
      </w:tr>
      <w:tr>
        <w:tc>
          <w:tcPr>
            <w:tcW w:type="dxa" w:w="2608"/>
          </w:tcPr>
          <w:p>
            <w:pPr>
              <w:spacing w:after="40" w:line="252" w:lineRule="auto"/>
            </w:pPr>
            <w:r>
              <w:rPr>
                <w:b/>
                <w:i w:val="0"/>
                <w:sz w:val="18"/>
              </w:rPr>
              <w:t>Coverage</w:t>
            </w:r>
          </w:p>
        </w:tc>
        <w:tc>
          <w:tcPr>
            <w:tcW w:type="dxa" w:w="7030"/>
          </w:tcPr>
          <w:p>
            <w:pPr>
              <w:spacing w:after="40" w:line="252" w:lineRule="auto"/>
            </w:pPr>
            <w:r>
              <w:rPr>
                <w:b w:val="0"/>
                <w:i w:val="0"/>
                <w:sz w:val="18"/>
              </w:rPr>
              <w:t>Only wood that has already been felled at the time of submission (Commission FAQ 5.19 no. 4).</w:t>
            </w:r>
          </w:p>
        </w:tc>
      </w:tr>
      <w:tr>
        <w:tc>
          <w:tcPr>
            <w:tcW w:type="dxa" w:w="2608"/>
          </w:tcPr>
          <w:p>
            <w:pPr>
              <w:spacing w:after="40" w:line="252" w:lineRule="auto"/>
            </w:pPr>
            <w:r>
              <w:rPr>
                <w:b/>
                <w:i w:val="0"/>
                <w:sz w:val="18"/>
              </w:rPr>
              <w:t>Quantity reconciliation</w:t>
            </w:r>
          </w:p>
        </w:tc>
        <w:tc>
          <w:tcPr>
            <w:tcW w:type="dxa" w:w="7030"/>
          </w:tcPr>
          <w:p>
            <w:pPr>
              <w:spacing w:after="40" w:line="252" w:lineRule="auto"/>
            </w:pPr>
            <w:r>
              <w:rPr>
                <w:b w:val="0"/>
                <w:i w:val="0"/>
                <w:sz w:val="18"/>
              </w:rPr>
              <w:t>Monthly with the remaining quantity per statement, by quality and sustainability.</w:t>
            </w:r>
          </w:p>
        </w:tc>
      </w:tr>
      <w:tr>
        <w:tc>
          <w:tcPr>
            <w:tcW w:type="dxa" w:w="2608"/>
          </w:tcPr>
          <w:p>
            <w:pPr>
              <w:spacing w:after="40" w:line="252" w:lineRule="auto"/>
            </w:pPr>
            <w:r>
              <w:rPr>
                <w:b/>
                <w:i w:val="0"/>
                <w:sz w:val="18"/>
              </w:rPr>
              <w:t>Check before submission</w:t>
            </w:r>
          </w:p>
        </w:tc>
        <w:tc>
          <w:tcPr>
            <w:tcW w:type="dxa" w:w="7030"/>
          </w:tcPr>
          <w:p>
            <w:pPr>
              <w:spacing w:after="40" w:line="252" w:lineRule="auto"/>
            </w:pPr>
            <w:r>
              <w:rPr>
                <w:b w:val="0"/>
                <w:i w:val="0"/>
                <w:sz w:val="18"/>
              </w:rPr>
              <w:t>Second person in the EUDR team.</w:t>
            </w:r>
          </w:p>
        </w:tc>
      </w:tr>
      <w:tr>
        <w:tc>
          <w:tcPr>
            <w:tcW w:type="dxa" w:w="2608"/>
          </w:tcPr>
          <w:p>
            <w:pPr>
              <w:spacing w:after="40" w:line="252" w:lineRule="auto"/>
            </w:pPr>
            <w:r>
              <w:rPr>
                <w:b/>
                <w:i w:val="0"/>
                <w:sz w:val="18"/>
              </w:rPr>
              <w:t>Amendment and withdrawal</w:t>
            </w:r>
          </w:p>
        </w:tc>
        <w:tc>
          <w:tcPr>
            <w:tcW w:type="dxa" w:w="7030"/>
          </w:tcPr>
          <w:p>
            <w:pPr>
              <w:spacing w:after="40" w:line="252" w:lineRule="auto"/>
            </w:pPr>
            <w:r>
              <w:rPr>
                <w:b w:val="0"/>
                <w:i w:val="0"/>
                <w:sz w:val="18"/>
              </w:rPr>
              <w:t>Within 72 hours after validation, by customs and logistics after consulting the EUDR team.</w:t>
            </w:r>
          </w:p>
        </w:tc>
      </w:tr>
      <w:tr>
        <w:tc>
          <w:tcPr>
            <w:tcW w:type="dxa" w:w="2608"/>
          </w:tcPr>
          <w:p>
            <w:pPr>
              <w:spacing w:after="40" w:line="252" w:lineRule="auto"/>
            </w:pPr>
            <w:r>
              <w:rPr>
                <w:b/>
                <w:i w:val="0"/>
                <w:sz w:val="18"/>
              </w:rPr>
              <w:t>Passing on</w:t>
            </w:r>
          </w:p>
        </w:tc>
        <w:tc>
          <w:tcPr>
            <w:tcW w:type="dxa" w:w="7030"/>
          </w:tcPr>
          <w:p>
            <w:pPr>
              <w:spacing w:after="40" w:line="252" w:lineRule="auto"/>
            </w:pPr>
            <w:r>
              <w:rPr>
                <w:b w:val="0"/>
                <w:i w:val="0"/>
                <w:sz w:val="18"/>
              </w:rPr>
              <w:t>Reference number on the customs order, invoice and delivery note; customers receive the verification number on request.</w:t>
            </w:r>
          </w:p>
        </w:tc>
      </w:tr>
      <w:tr>
        <w:tc>
          <w:tcPr>
            <w:tcW w:type="dxa" w:w="2608"/>
          </w:tcPr>
          <w:p>
            <w:pPr>
              <w:spacing w:after="40" w:line="252" w:lineRule="auto"/>
            </w:pPr>
            <w:r>
              <w:rPr>
                <w:b/>
                <w:i w:val="0"/>
                <w:sz w:val="18"/>
              </w:rPr>
              <w:t>Emergency procedure</w:t>
            </w:r>
          </w:p>
        </w:tc>
        <w:tc>
          <w:tcPr>
            <w:tcW w:type="dxa" w:w="7030"/>
          </w:tcPr>
          <w:p>
            <w:pPr>
              <w:spacing w:after="40" w:line="252" w:lineRule="auto"/>
            </w:pPr>
            <w:r>
              <w:rPr>
                <w:b w:val="0"/>
                <w:i w:val="0"/>
                <w:sz w:val="18"/>
              </w:rPr>
              <w:t>If the information system is unavailable for more than 60 minutes unplanned, emergency reference number according to the Commission's information; decision by the head of customs and logistics; added to the log afterwards.</w:t>
            </w:r>
          </w:p>
        </w:tc>
      </w:tr>
      <w:tr>
        <w:tc>
          <w:tcPr>
            <w:tcW w:type="dxa" w:w="2608"/>
          </w:tcPr>
          <w:p>
            <w:pPr>
              <w:spacing w:after="40" w:line="252" w:lineRule="auto"/>
            </w:pPr>
            <w:r>
              <w:rPr>
                <w:b/>
                <w:i w:val="0"/>
                <w:sz w:val="18"/>
              </w:rPr>
              <w:t>Filing</w:t>
            </w:r>
          </w:p>
        </w:tc>
        <w:tc>
          <w:tcPr>
            <w:tcW w:type="dxa" w:w="7030"/>
          </w:tcPr>
          <w:p>
            <w:pPr>
              <w:spacing w:after="40" w:line="252" w:lineRule="auto"/>
            </w:pPr>
            <w:r>
              <w:rPr>
                <w:b w:val="0"/>
                <w:i w:val="0"/>
                <w:sz w:val="18"/>
              </w:rPr>
              <w:t>PDF of the statement and geodata file kept separately in the file, because the PDF does not contain the geolocation.</w:t>
            </w:r>
          </w:p>
        </w:tc>
      </w:tr>
    </w:tbl>
    <w:p>
      <w:pPr>
        <w:spacing w:after="40"/>
      </w:pPr>
    </w:p>
    <w:p>
      <w:r>
        <w:rPr>
          <w:b/>
          <w:sz w:val="18"/>
        </w:rPr>
        <w:t xml:space="preserve">Evidence in the file: </w:t>
      </w:r>
      <w:r>
        <w:rPr>
          <w:b w:val="0"/>
          <w:i w:val="0"/>
          <w:sz w:val="18"/>
        </w:rPr>
        <w:t>Statement as PDF and geodata file, reference and verification number, customs declaration</w:t>
      </w:r>
    </w:p>
    <w:p>
      <w:pPr>
        <w:pStyle w:val="Heading2"/>
      </w:pPr>
      <w:r>
        <w:t>Building block 9: New information and substantiated concerns</w:t>
      </w:r>
    </w:p>
    <w:p>
      <w:r>
        <w:rPr>
          <w:b/>
          <w:sz w:val="18"/>
        </w:rPr>
        <w:t xml:space="preserve">Legal basis: </w:t>
      </w:r>
      <w:r>
        <w:rPr>
          <w:b w:val="0"/>
          <w:i w:val="0"/>
          <w:sz w:val="18"/>
        </w:rPr>
        <w:t>Art. 4(5), Art. 13(2), Art. 31</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Input channels</w:t>
            </w:r>
          </w:p>
        </w:tc>
        <w:tc>
          <w:tcPr>
            <w:tcW w:type="dxa" w:w="7030"/>
          </w:tcPr>
          <w:p>
            <w:pPr>
              <w:spacing w:after="40" w:line="252" w:lineRule="auto"/>
            </w:pPr>
            <w:r>
              <w:rPr>
                <w:b w:val="0"/>
                <w:i w:val="0"/>
                <w:sz w:val="18"/>
              </w:rPr>
              <w:t>Central mailbox and phone number of the quality and sustainability department; information from suppliers, customers, organisations, authorities, the media and the satellite analysis.</w:t>
            </w:r>
          </w:p>
        </w:tc>
      </w:tr>
      <w:tr>
        <w:tc>
          <w:tcPr>
            <w:tcW w:type="dxa" w:w="2608"/>
          </w:tcPr>
          <w:p>
            <w:pPr>
              <w:spacing w:after="40" w:line="252" w:lineRule="auto"/>
            </w:pPr>
            <w:r>
              <w:rPr>
                <w:b/>
                <w:i w:val="0"/>
                <w:sz w:val="18"/>
              </w:rPr>
              <w:t>Recording and responsibility</w:t>
            </w:r>
          </w:p>
        </w:tc>
        <w:tc>
          <w:tcPr>
            <w:tcW w:type="dxa" w:w="7030"/>
          </w:tcPr>
          <w:p>
            <w:pPr>
              <w:spacing w:after="40" w:line="252" w:lineRule="auto"/>
            </w:pPr>
            <w:r>
              <w:rPr>
                <w:b w:val="0"/>
                <w:i w:val="0"/>
                <w:sz w:val="18"/>
              </w:rPr>
              <w:t>Recorded in the notification log by the EUDR team; assessed by the EUDR team with the compliance officer.</w:t>
            </w:r>
          </w:p>
        </w:tc>
      </w:tr>
      <w:tr>
        <w:tc>
          <w:tcPr>
            <w:tcW w:type="dxa" w:w="2608"/>
          </w:tcPr>
          <w:p>
            <w:pPr>
              <w:spacing w:after="40" w:line="252" w:lineRule="auto"/>
            </w:pPr>
            <w:r>
              <w:rPr>
                <w:b/>
                <w:i w:val="0"/>
                <w:sz w:val="18"/>
              </w:rPr>
              <w:t>Deadline for the first assessment</w:t>
            </w:r>
          </w:p>
        </w:tc>
        <w:tc>
          <w:tcPr>
            <w:tcW w:type="dxa" w:w="7030"/>
          </w:tcPr>
          <w:p>
            <w:pPr>
              <w:spacing w:after="40" w:line="252" w:lineRule="auto"/>
            </w:pPr>
            <w:r>
              <w:rPr>
                <w:b w:val="0"/>
                <w:i w:val="0"/>
                <w:sz w:val="18"/>
              </w:rPr>
              <w:t>Two working days.</w:t>
            </w:r>
          </w:p>
        </w:tc>
      </w:tr>
      <w:tr>
        <w:tc>
          <w:tcPr>
            <w:tcW w:type="dxa" w:w="2608"/>
          </w:tcPr>
          <w:p>
            <w:pPr>
              <w:spacing w:after="40" w:line="252" w:lineRule="auto"/>
            </w:pPr>
            <w:r>
              <w:rPr>
                <w:b/>
                <w:i w:val="0"/>
                <w:sz w:val="18"/>
              </w:rPr>
              <w:t>Immediate measure</w:t>
            </w:r>
          </w:p>
        </w:tc>
        <w:tc>
          <w:tcPr>
            <w:tcW w:type="dxa" w:w="7030"/>
          </w:tcPr>
          <w:p>
            <w:pPr>
              <w:spacing w:after="40" w:line="252" w:lineRule="auto"/>
            </w:pPr>
            <w:r>
              <w:rPr>
                <w:b w:val="0"/>
                <w:i w:val="0"/>
                <w:sz w:val="18"/>
              </w:rPr>
              <w:t>Block the stock concerned in the merchandise management system.</w:t>
            </w:r>
          </w:p>
        </w:tc>
      </w:tr>
      <w:tr>
        <w:tc>
          <w:tcPr>
            <w:tcW w:type="dxa" w:w="2608"/>
          </w:tcPr>
          <w:p>
            <w:pPr>
              <w:spacing w:after="40" w:line="252" w:lineRule="auto"/>
            </w:pPr>
            <w:r>
              <w:rPr>
                <w:b/>
                <w:i w:val="0"/>
                <w:sz w:val="18"/>
              </w:rPr>
              <w:t>Notification</w:t>
            </w:r>
          </w:p>
        </w:tc>
        <w:tc>
          <w:tcPr>
            <w:tcW w:type="dxa" w:w="7030"/>
          </w:tcPr>
          <w:p>
            <w:pPr>
              <w:spacing w:after="40" w:line="252" w:lineRule="auto"/>
            </w:pPr>
            <w:r>
              <w:rPr>
                <w:b w:val="0"/>
                <w:i w:val="0"/>
                <w:sz w:val="18"/>
              </w:rPr>
              <w:t>Immediately to the BLE and to the traders supplied, by the compliance officer.</w:t>
            </w:r>
          </w:p>
        </w:tc>
      </w:tr>
      <w:tr>
        <w:tc>
          <w:tcPr>
            <w:tcW w:type="dxa" w:w="2608"/>
          </w:tcPr>
          <w:p>
            <w:pPr>
              <w:spacing w:after="40" w:line="252" w:lineRule="auto"/>
            </w:pPr>
            <w:r>
              <w:rPr>
                <w:b/>
                <w:i w:val="0"/>
                <w:sz w:val="18"/>
              </w:rPr>
              <w:t>Under simplified due diligence</w:t>
            </w:r>
          </w:p>
        </w:tc>
        <w:tc>
          <w:tcPr>
            <w:tcW w:type="dxa" w:w="7030"/>
          </w:tcPr>
          <w:p>
            <w:pPr>
              <w:spacing w:after="40" w:line="252" w:lineRule="auto"/>
            </w:pPr>
            <w:r>
              <w:rPr>
                <w:b w:val="0"/>
                <w:i w:val="0"/>
                <w:sz w:val="18"/>
              </w:rPr>
              <w:t>Full assessment under Arts. 10 and 11 and information to the BLE under Art. 13(2) (applied to VN-2, version 1.1).</w:t>
            </w:r>
          </w:p>
        </w:tc>
      </w:tr>
      <w:tr>
        <w:tc>
          <w:tcPr>
            <w:tcW w:type="dxa" w:w="2608"/>
          </w:tcPr>
          <w:p>
            <w:pPr>
              <w:spacing w:after="40" w:line="252" w:lineRule="auto"/>
            </w:pPr>
            <w:r>
              <w:rPr>
                <w:b/>
                <w:i w:val="0"/>
                <w:sz w:val="18"/>
              </w:rPr>
              <w:t>Feedback</w:t>
            </w:r>
          </w:p>
        </w:tc>
        <w:tc>
          <w:tcPr>
            <w:tcW w:type="dxa" w:w="7030"/>
          </w:tcPr>
          <w:p>
            <w:pPr>
              <w:spacing w:after="40" w:line="252" w:lineRule="auto"/>
            </w:pPr>
            <w:r>
              <w:rPr>
                <w:b w:val="0"/>
                <w:i w:val="0"/>
                <w:sz w:val="18"/>
              </w:rPr>
              <w:t>Amendment of the blocks concerned with an entry in the change log.</w:t>
            </w:r>
          </w:p>
        </w:tc>
      </w:tr>
    </w:tbl>
    <w:p>
      <w:pPr>
        <w:spacing w:after="40"/>
      </w:pPr>
    </w:p>
    <w:p>
      <w:r>
        <w:rPr>
          <w:b/>
          <w:sz w:val="18"/>
        </w:rPr>
        <w:t xml:space="preserve">Evidence in the file: </w:t>
      </w:r>
      <w:r>
        <w:rPr>
          <w:b w:val="0"/>
          <w:i w:val="0"/>
          <w:sz w:val="18"/>
        </w:rPr>
        <w:t>Notification log</w:t>
      </w:r>
    </w:p>
    <w:p>
      <w:pPr>
        <w:pStyle w:val="Heading1"/>
      </w:pPr>
      <w:r>
        <w:t>Part C: Control and maintenance</w:t>
      </w:r>
    </w:p>
    <w:p>
      <w:pPr>
        <w:pStyle w:val="Heading2"/>
      </w:pPr>
      <w:r>
        <w:t>Building block 10: Internal control and independent audit function</w:t>
      </w:r>
    </w:p>
    <w:p>
      <w:r>
        <w:rPr>
          <w:b/>
          <w:sz w:val="18"/>
        </w:rPr>
        <w:t xml:space="preserve">Legal basis: </w:t>
      </w:r>
      <w:r>
        <w:rPr>
          <w:b w:val="0"/>
          <w:i w:val="0"/>
          <w:sz w:val="18"/>
        </w:rPr>
        <w:t>Art. 11(2)(a) and (b)</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Internal controls</w:t>
            </w:r>
          </w:p>
        </w:tc>
        <w:tc>
          <w:tcPr>
            <w:tcW w:type="dxa" w:w="7030"/>
          </w:tcPr>
          <w:p>
            <w:pPr>
              <w:spacing w:after="40" w:line="252" w:lineRule="auto"/>
            </w:pPr>
            <w:r>
              <w:rPr>
                <w:b w:val="0"/>
                <w:i w:val="0"/>
                <w:sz w:val="18"/>
              </w:rPr>
              <w:t>Each quarter ten randomly drawn reference numbers; the compliance officer checks that the file is complete.</w:t>
            </w:r>
          </w:p>
        </w:tc>
      </w:tr>
      <w:tr>
        <w:tc>
          <w:tcPr>
            <w:tcW w:type="dxa" w:w="2608"/>
          </w:tcPr>
          <w:p>
            <w:pPr>
              <w:spacing w:after="40" w:line="252" w:lineRule="auto"/>
            </w:pPr>
            <w:r>
              <w:rPr>
                <w:b/>
                <w:i w:val="0"/>
                <w:sz w:val="18"/>
              </w:rPr>
              <w:t>Report to management</w:t>
            </w:r>
          </w:p>
        </w:tc>
        <w:tc>
          <w:tcPr>
            <w:tcW w:type="dxa" w:w="7030"/>
          </w:tcPr>
          <w:p>
            <w:pPr>
              <w:spacing w:after="40" w:line="252" w:lineRule="auto"/>
            </w:pPr>
            <w:r>
              <w:rPr>
                <w:b w:val="0"/>
                <w:i w:val="0"/>
                <w:sz w:val="18"/>
              </w:rPr>
              <w:t>Each quarter: result of the sample checks, open actions, notifications.</w:t>
            </w:r>
          </w:p>
        </w:tc>
      </w:tr>
      <w:tr>
        <w:tc>
          <w:tcPr>
            <w:tcW w:type="dxa" w:w="2608"/>
          </w:tcPr>
          <w:p>
            <w:pPr>
              <w:spacing w:after="40" w:line="252" w:lineRule="auto"/>
            </w:pPr>
            <w:r>
              <w:rPr>
                <w:b/>
                <w:i w:val="0"/>
                <w:sz w:val="18"/>
              </w:rPr>
              <w:t>Audit function</w:t>
            </w:r>
          </w:p>
        </w:tc>
        <w:tc>
          <w:tcPr>
            <w:tcW w:type="dxa" w:w="7030"/>
          </w:tcPr>
          <w:p>
            <w:pPr>
              <w:spacing w:after="40" w:line="252" w:lineRule="auto"/>
            </w:pPr>
            <w:r>
              <w:rPr>
                <w:b w:val="0"/>
                <w:i w:val="0"/>
                <w:sz w:val="18"/>
              </w:rPr>
              <w:t>External: commissioned audit firm. Reason: no internal audit team of its own; the audit firm is not involved in the processes.</w:t>
            </w:r>
          </w:p>
        </w:tc>
      </w:tr>
      <w:tr>
        <w:tc>
          <w:tcPr>
            <w:tcW w:type="dxa" w:w="2608"/>
          </w:tcPr>
          <w:p>
            <w:pPr>
              <w:spacing w:after="40" w:line="252" w:lineRule="auto"/>
            </w:pPr>
            <w:r>
              <w:rPr>
                <w:b/>
                <w:i w:val="0"/>
                <w:sz w:val="18"/>
              </w:rPr>
              <w:t>Audit mandate</w:t>
            </w:r>
          </w:p>
        </w:tc>
        <w:tc>
          <w:tcPr>
            <w:tcW w:type="dxa" w:w="7030"/>
          </w:tcPr>
          <w:p>
            <w:pPr>
              <w:spacing w:after="40" w:line="252" w:lineRule="auto"/>
            </w:pPr>
            <w:r>
              <w:rPr>
                <w:b w:val="0"/>
                <w:i w:val="0"/>
                <w:sz w:val="18"/>
              </w:rPr>
              <w:t>Policies, controls and procedures under Art. 11(2)(a); first audit in the second quarter of 2027, then every year; report to management.</w:t>
            </w:r>
          </w:p>
        </w:tc>
      </w:tr>
      <w:tr>
        <w:tc>
          <w:tcPr>
            <w:tcW w:type="dxa" w:w="2608"/>
          </w:tcPr>
          <w:p>
            <w:pPr>
              <w:spacing w:after="40" w:line="252" w:lineRule="auto"/>
            </w:pPr>
            <w:r>
              <w:rPr>
                <w:b/>
                <w:i w:val="0"/>
                <w:sz w:val="18"/>
              </w:rPr>
              <w:t>Follow-up of actions</w:t>
            </w:r>
          </w:p>
        </w:tc>
        <w:tc>
          <w:tcPr>
            <w:tcW w:type="dxa" w:w="7030"/>
          </w:tcPr>
          <w:p>
            <w:pPr>
              <w:spacing w:after="40" w:line="252" w:lineRule="auto"/>
            </w:pPr>
            <w:r>
              <w:rPr>
                <w:b w:val="0"/>
                <w:i w:val="0"/>
                <w:sz w:val="18"/>
              </w:rPr>
              <w:t>Compliance officer; management sets the deadlines.</w:t>
            </w:r>
          </w:p>
        </w:tc>
      </w:tr>
      <w:tr>
        <w:tc>
          <w:tcPr>
            <w:tcW w:type="dxa" w:w="2608"/>
          </w:tcPr>
          <w:p>
            <w:pPr>
              <w:spacing w:after="40" w:line="252" w:lineRule="auto"/>
            </w:pPr>
            <w:r>
              <w:rPr>
                <w:b/>
                <w:i w:val="0"/>
                <w:sz w:val="18"/>
              </w:rPr>
              <w:t>Sharing results with customers</w:t>
            </w:r>
          </w:p>
        </w:tc>
        <w:tc>
          <w:tcPr>
            <w:tcW w:type="dxa" w:w="7030"/>
          </w:tcPr>
          <w:p>
            <w:pPr>
              <w:spacing w:after="40" w:line="252" w:lineRule="auto"/>
            </w:pPr>
            <w:r>
              <w:rPr>
                <w:b w:val="0"/>
                <w:i w:val="0"/>
                <w:sz w:val="18"/>
              </w:rPr>
              <w:t>Summary on request.</w:t>
            </w:r>
          </w:p>
        </w:tc>
      </w:tr>
    </w:tbl>
    <w:p>
      <w:pPr>
        <w:spacing w:after="40"/>
      </w:pPr>
    </w:p>
    <w:p>
      <w:r>
        <w:rPr>
          <w:b/>
          <w:sz w:val="18"/>
        </w:rPr>
        <w:t xml:space="preserve">Evidence in the file: </w:t>
      </w:r>
      <w:r>
        <w:rPr>
          <w:b w:val="0"/>
          <w:i w:val="0"/>
          <w:sz w:val="18"/>
        </w:rPr>
        <w:t>Sample check records, audit report of the audit firm, action list</w:t>
      </w:r>
    </w:p>
    <w:p>
      <w:pPr>
        <w:pStyle w:val="Heading2"/>
      </w:pPr>
      <w:r>
        <w:t>Building block 11: Records and requests from authorities</w:t>
      </w:r>
    </w:p>
    <w:p>
      <w:r>
        <w:rPr>
          <w:b/>
          <w:sz w:val="18"/>
        </w:rPr>
        <w:t xml:space="preserve">Legal basis: </w:t>
      </w:r>
      <w:r>
        <w:rPr>
          <w:b w:val="0"/>
          <w:i w:val="0"/>
          <w:sz w:val="18"/>
        </w:rPr>
        <w:t>Art. 4(3) and (6), Art. 9(1) and (2), Art. 10(4), Art. 11(3), Art. 12(5), Art. 16(13), Art. 18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File per reference number</w:t>
            </w:r>
          </w:p>
        </w:tc>
        <w:tc>
          <w:tcPr>
            <w:tcW w:type="dxa" w:w="7030"/>
          </w:tcPr>
          <w:p>
            <w:pPr>
              <w:spacing w:after="40" w:line="252" w:lineRule="auto"/>
            </w:pPr>
            <w:r>
              <w:rPr>
                <w:b w:val="0"/>
                <w:i w:val="0"/>
                <w:sz w:val="18"/>
              </w:rPr>
              <w:t>In the document management system, structured like block 11 of the template.</w:t>
            </w:r>
          </w:p>
        </w:tc>
      </w:tr>
      <w:tr>
        <w:tc>
          <w:tcPr>
            <w:tcW w:type="dxa" w:w="2608"/>
          </w:tcPr>
          <w:p>
            <w:pPr>
              <w:spacing w:after="40" w:line="252" w:lineRule="auto"/>
            </w:pPr>
            <w:r>
              <w:rPr>
                <w:b/>
                <w:i w:val="0"/>
                <w:sz w:val="18"/>
              </w:rPr>
              <w:t>Retention periods and start</w:t>
            </w:r>
          </w:p>
        </w:tc>
        <w:tc>
          <w:tcPr>
            <w:tcW w:type="dxa" w:w="7030"/>
          </w:tcPr>
          <w:p>
            <w:pPr>
              <w:spacing w:after="40" w:line="252" w:lineRule="auto"/>
            </w:pPr>
            <w:r>
              <w:rPr>
                <w:b w:val="0"/>
                <w:i w:val="0"/>
                <w:sz w:val="18"/>
              </w:rPr>
              <w:t>According to the table below; where the start is open, the latest possible date.</w:t>
            </w:r>
          </w:p>
        </w:tc>
      </w:tr>
      <w:tr>
        <w:tc>
          <w:tcPr>
            <w:tcW w:type="dxa" w:w="2608"/>
          </w:tcPr>
          <w:p>
            <w:pPr>
              <w:spacing w:after="40" w:line="252" w:lineRule="auto"/>
            </w:pPr>
            <w:r>
              <w:rPr>
                <w:b/>
                <w:i w:val="0"/>
                <w:sz w:val="18"/>
              </w:rPr>
              <w:t>Storage, access, backup</w:t>
            </w:r>
          </w:p>
        </w:tc>
        <w:tc>
          <w:tcPr>
            <w:tcW w:type="dxa" w:w="7030"/>
          </w:tcPr>
          <w:p>
            <w:pPr>
              <w:spacing w:after="40" w:line="252" w:lineRule="auto"/>
            </w:pPr>
            <w:r>
              <w:rPr>
                <w:b w:val="0"/>
                <w:i w:val="0"/>
                <w:sz w:val="18"/>
              </w:rPr>
              <w:t>Document management system; access for the EUDR team and the compliance officer, read-only for customs and logistics; daily backup.</w:t>
            </w:r>
          </w:p>
        </w:tc>
      </w:tr>
      <w:tr>
        <w:tc>
          <w:tcPr>
            <w:tcW w:type="dxa" w:w="2608"/>
          </w:tcPr>
          <w:p>
            <w:pPr>
              <w:spacing w:after="40" w:line="252" w:lineRule="auto"/>
            </w:pPr>
            <w:r>
              <w:rPr>
                <w:b/>
                <w:i w:val="0"/>
                <w:sz w:val="18"/>
              </w:rPr>
              <w:t>Deletion</w:t>
            </w:r>
          </w:p>
        </w:tc>
        <w:tc>
          <w:tcPr>
            <w:tcW w:type="dxa" w:w="7030"/>
          </w:tcPr>
          <w:p>
            <w:pPr>
              <w:spacing w:after="40" w:line="252" w:lineRule="auto"/>
            </w:pPr>
            <w:r>
              <w:rPr>
                <w:b w:val="0"/>
                <w:i w:val="0"/>
                <w:sz w:val="18"/>
              </w:rPr>
              <w:t>After the period has expired, with a deletion log.</w:t>
            </w:r>
          </w:p>
        </w:tc>
      </w:tr>
      <w:tr>
        <w:tc>
          <w:tcPr>
            <w:tcW w:type="dxa" w:w="2608"/>
          </w:tcPr>
          <w:p>
            <w:pPr>
              <w:spacing w:after="40" w:line="252" w:lineRule="auto"/>
            </w:pPr>
            <w:r>
              <w:rPr>
                <w:b/>
                <w:i w:val="0"/>
                <w:sz w:val="18"/>
              </w:rPr>
              <w:t>Contact person for the authority</w:t>
            </w:r>
          </w:p>
        </w:tc>
        <w:tc>
          <w:tcPr>
            <w:tcW w:type="dxa" w:w="7030"/>
          </w:tcPr>
          <w:p>
            <w:pPr>
              <w:spacing w:after="40" w:line="252" w:lineRule="auto"/>
            </w:pPr>
            <w:r>
              <w:rPr>
                <w:b w:val="0"/>
                <w:i w:val="0"/>
                <w:sz w:val="18"/>
              </w:rPr>
              <w:t>Compliance officer; deputy head of customs and logistics.</w:t>
            </w:r>
          </w:p>
        </w:tc>
      </w:tr>
      <w:tr>
        <w:tc>
          <w:tcPr>
            <w:tcW w:type="dxa" w:w="2608"/>
          </w:tcPr>
          <w:p>
            <w:pPr>
              <w:spacing w:after="40" w:line="252" w:lineRule="auto"/>
            </w:pPr>
            <w:r>
              <w:rPr>
                <w:b/>
                <w:i w:val="0"/>
                <w:sz w:val="18"/>
              </w:rPr>
              <w:t>Day of a check</w:t>
            </w:r>
          </w:p>
        </w:tc>
        <w:tc>
          <w:tcPr>
            <w:tcW w:type="dxa" w:w="7030"/>
          </w:tcPr>
          <w:p>
            <w:pPr>
              <w:spacing w:after="40" w:line="252" w:lineRule="auto"/>
            </w:pPr>
            <w:r>
              <w:rPr>
                <w:b w:val="0"/>
                <w:i w:val="0"/>
                <w:sz w:val="18"/>
              </w:rPr>
              <w:t>The compliance officer provides information; the warehouse opens premises and accompanies sampling; the EUDR team compiles the files.</w:t>
            </w:r>
          </w:p>
        </w:tc>
      </w:tr>
    </w:tbl>
    <w:p>
      <w:pPr>
        <w:spacing w:after="40"/>
      </w:pP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948"/>
        <w:gridCol w:w="1474"/>
        <w:gridCol w:w="2835"/>
        <w:gridCol w:w="2381"/>
      </w:tblGrid>
      <w:tr>
        <w:trPr>
          <w:tblHeader w:val="true"/>
        </w:trPr>
        <w:tc>
          <w:tcPr>
            <w:tcW w:type="dxa" w:w="2948"/>
            <w:shd w:val="clear" w:color="auto" w:fill="D9E2EC"/>
          </w:tcPr>
          <w:p>
            <w:pPr>
              <w:spacing w:after="40" w:line="252" w:lineRule="auto"/>
            </w:pPr>
            <w:r>
              <w:rPr>
                <w:b/>
                <w:i w:val="0"/>
                <w:sz w:val="17"/>
              </w:rPr>
              <w:t>Record</w:t>
            </w:r>
          </w:p>
        </w:tc>
        <w:tc>
          <w:tcPr>
            <w:tcW w:type="dxa" w:w="1474"/>
            <w:shd w:val="clear" w:color="auto" w:fill="D9E2EC"/>
          </w:tcPr>
          <w:p>
            <w:pPr>
              <w:spacing w:after="40" w:line="252" w:lineRule="auto"/>
            </w:pPr>
            <w:r>
              <w:rPr>
                <w:b/>
                <w:i w:val="0"/>
                <w:sz w:val="17"/>
              </w:rPr>
              <w:t>Period</w:t>
            </w:r>
          </w:p>
        </w:tc>
        <w:tc>
          <w:tcPr>
            <w:tcW w:type="dxa" w:w="2835"/>
            <w:shd w:val="clear" w:color="auto" w:fill="D9E2EC"/>
          </w:tcPr>
          <w:p>
            <w:pPr>
              <w:spacing w:after="40" w:line="252" w:lineRule="auto"/>
            </w:pPr>
            <w:r>
              <w:rPr>
                <w:b/>
                <w:i w:val="0"/>
                <w:sz w:val="17"/>
              </w:rPr>
              <w:t>Starts</w:t>
            </w:r>
          </w:p>
        </w:tc>
        <w:tc>
          <w:tcPr>
            <w:tcW w:type="dxa" w:w="2381"/>
            <w:shd w:val="clear" w:color="auto" w:fill="D9E2EC"/>
          </w:tcPr>
          <w:p>
            <w:pPr>
              <w:spacing w:after="40" w:line="252" w:lineRule="auto"/>
            </w:pPr>
            <w:r>
              <w:rPr>
                <w:b/>
                <w:i w:val="0"/>
                <w:sz w:val="17"/>
              </w:rPr>
              <w:t>Legal source</w:t>
            </w:r>
          </w:p>
        </w:tc>
      </w:tr>
      <w:tr>
        <w:tc>
          <w:tcPr>
            <w:tcW w:type="dxa" w:w="2948"/>
          </w:tcPr>
          <w:p>
            <w:pPr>
              <w:spacing w:after="40" w:line="252" w:lineRule="auto"/>
            </w:pPr>
            <w:r>
              <w:rPr>
                <w:b w:val="0"/>
                <w:i w:val="0"/>
                <w:sz w:val="17"/>
              </w:rPr>
              <w:t>Due diligence statement</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submission</w:t>
            </w:r>
          </w:p>
        </w:tc>
        <w:tc>
          <w:tcPr>
            <w:tcW w:type="dxa" w:w="2381"/>
          </w:tcPr>
          <w:p>
            <w:pPr>
              <w:spacing w:after="40" w:line="252" w:lineRule="auto"/>
            </w:pPr>
            <w:r>
              <w:rPr>
                <w:b w:val="0"/>
                <w:i w:val="0"/>
                <w:sz w:val="17"/>
              </w:rPr>
              <w:t>Art. 4(3); FAQ 5.8</w:t>
            </w:r>
          </w:p>
        </w:tc>
      </w:tr>
      <w:tr>
        <w:tc>
          <w:tcPr>
            <w:tcW w:type="dxa" w:w="2948"/>
          </w:tcPr>
          <w:p>
            <w:pPr>
              <w:spacing w:after="40" w:line="252" w:lineRule="auto"/>
            </w:pPr>
            <w:r>
              <w:rPr>
                <w:b w:val="0"/>
                <w:i w:val="0"/>
                <w:sz w:val="17"/>
              </w:rPr>
              <w:t>Information under Art. 9(1) with evidence</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making available on the market or export</w:t>
            </w:r>
          </w:p>
        </w:tc>
        <w:tc>
          <w:tcPr>
            <w:tcW w:type="dxa" w:w="2381"/>
          </w:tcPr>
          <w:p>
            <w:pPr>
              <w:spacing w:after="40" w:line="252" w:lineRule="auto"/>
            </w:pPr>
            <w:r>
              <w:rPr>
                <w:b w:val="0"/>
                <w:i w:val="0"/>
                <w:sz w:val="17"/>
              </w:rPr>
              <w:t>Art. 9(1); FAQ 5.8</w:t>
            </w:r>
          </w:p>
        </w:tc>
      </w:tr>
      <w:tr>
        <w:tc>
          <w:tcPr>
            <w:tcW w:type="dxa" w:w="2948"/>
          </w:tcPr>
          <w:p>
            <w:pPr>
              <w:spacing w:after="40" w:line="252" w:lineRule="auto"/>
            </w:pPr>
            <w:r>
              <w:rPr>
                <w:b w:val="0"/>
                <w:i w:val="0"/>
                <w:sz w:val="17"/>
              </w:rPr>
              <w:t>Risk assessment, mitigation decisions</w:t>
            </w:r>
          </w:p>
        </w:tc>
        <w:tc>
          <w:tcPr>
            <w:tcW w:type="dxa" w:w="1474"/>
          </w:tcPr>
          <w:p>
            <w:pPr>
              <w:spacing w:after="40" w:line="252" w:lineRule="auto"/>
            </w:pPr>
            <w:r>
              <w:rPr>
                <w:b w:val="0"/>
                <w:i w:val="0"/>
                <w:sz w:val="17"/>
              </w:rPr>
              <w:t>at least five years</w:t>
            </w:r>
          </w:p>
        </w:tc>
        <w:tc>
          <w:tcPr>
            <w:tcW w:type="dxa" w:w="2835"/>
          </w:tcPr>
          <w:p>
            <w:pPr>
              <w:spacing w:after="40" w:line="252" w:lineRule="auto"/>
            </w:pPr>
            <w:r>
              <w:rPr>
                <w:b w:val="0"/>
                <w:i w:val="0"/>
                <w:sz w:val="17"/>
              </w:rPr>
              <w:t>completion of the due diligence exercise (FAQ 5.8); if in doubt the later date</w:t>
            </w:r>
          </w:p>
        </w:tc>
        <w:tc>
          <w:tcPr>
            <w:tcW w:type="dxa" w:w="2381"/>
          </w:tcPr>
          <w:p>
            <w:pPr>
              <w:spacing w:after="40" w:line="252" w:lineRule="auto"/>
            </w:pPr>
            <w:r>
              <w:rPr>
                <w:b w:val="0"/>
                <w:i w:val="0"/>
                <w:sz w:val="17"/>
              </w:rPr>
              <w:t>Art. 10(4), Art. 11(3), Art. 12(5)</w:t>
            </w:r>
          </w:p>
        </w:tc>
      </w:tr>
      <w:tr>
        <w:tc>
          <w:tcPr>
            <w:tcW w:type="dxa" w:w="2948"/>
          </w:tcPr>
          <w:p>
            <w:pPr>
              <w:spacing w:after="40" w:line="252" w:lineRule="auto"/>
            </w:pPr>
            <w:r>
              <w:rPr>
                <w:b w:val="0"/>
                <w:i w:val="0"/>
                <w:sz w:val="17"/>
              </w:rPr>
              <w:t>Records of updates to the system</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update</w:t>
            </w:r>
          </w:p>
        </w:tc>
        <w:tc>
          <w:tcPr>
            <w:tcW w:type="dxa" w:w="2381"/>
          </w:tcPr>
          <w:p>
            <w:pPr>
              <w:spacing w:after="40" w:line="252" w:lineRule="auto"/>
            </w:pPr>
            <w:r>
              <w:rPr>
                <w:b w:val="0"/>
                <w:i w:val="0"/>
                <w:sz w:val="17"/>
              </w:rPr>
              <w:t>Art. 12(2)</w:t>
            </w:r>
          </w:p>
        </w:tc>
      </w:tr>
      <w:tr>
        <w:tc>
          <w:tcPr>
            <w:tcW w:type="dxa" w:w="2948"/>
          </w:tcPr>
          <w:p>
            <w:pPr>
              <w:spacing w:after="40" w:line="252" w:lineRule="auto"/>
            </w:pPr>
            <w:r>
              <w:rPr>
                <w:b w:val="0"/>
                <w:i w:val="0"/>
                <w:sz w:val="17"/>
              </w:rPr>
              <w:t>All other due diligence records</w:t>
            </w:r>
          </w:p>
        </w:tc>
        <w:tc>
          <w:tcPr>
            <w:tcW w:type="dxa" w:w="1474"/>
          </w:tcPr>
          <w:p>
            <w:pPr>
              <w:spacing w:after="40" w:line="252" w:lineRule="auto"/>
            </w:pPr>
            <w:r>
              <w:rPr>
                <w:b w:val="0"/>
                <w:i w:val="0"/>
                <w:sz w:val="17"/>
              </w:rPr>
              <w:t>at least five years</w:t>
            </w:r>
          </w:p>
        </w:tc>
        <w:tc>
          <w:tcPr>
            <w:tcW w:type="dxa" w:w="2835"/>
          </w:tcPr>
          <w:p>
            <w:pPr>
              <w:spacing w:after="40" w:line="252" w:lineRule="auto"/>
            </w:pPr>
            <w:r>
              <w:rPr>
                <w:b w:val="0"/>
                <w:i w:val="0"/>
                <w:sz w:val="17"/>
              </w:rPr>
              <w:t>not regulated; draft act 21/8278: creation</w:t>
            </w:r>
          </w:p>
        </w:tc>
        <w:tc>
          <w:tcPr>
            <w:tcW w:type="dxa" w:w="2381"/>
          </w:tcPr>
          <w:p>
            <w:pPr>
              <w:spacing w:after="40" w:line="252" w:lineRule="auto"/>
            </w:pPr>
            <w:r>
              <w:rPr>
                <w:b w:val="0"/>
                <w:i w:val="0"/>
                <w:sz w:val="17"/>
              </w:rPr>
              <w:t>Art. 12(5)</w:t>
            </w:r>
          </w:p>
        </w:tc>
      </w:tr>
      <w:tr>
        <w:tc>
          <w:tcPr>
            <w:tcW w:type="dxa" w:w="2948"/>
          </w:tcPr>
          <w:p>
            <w:pPr>
              <w:spacing w:after="40" w:line="252" w:lineRule="auto"/>
            </w:pPr>
            <w:r>
              <w:rPr>
                <w:b w:val="0"/>
                <w:i w:val="0"/>
                <w:sz w:val="17"/>
              </w:rPr>
              <w:t>Evidence of quantity correspondence for grouped statements</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last placing on the market</w:t>
            </w:r>
          </w:p>
        </w:tc>
        <w:tc>
          <w:tcPr>
            <w:tcW w:type="dxa" w:w="2381"/>
          </w:tcPr>
          <w:p>
            <w:pPr>
              <w:spacing w:after="40" w:line="252" w:lineRule="auto"/>
            </w:pPr>
            <w:r>
              <w:rPr>
                <w:b w:val="0"/>
                <w:i w:val="0"/>
                <w:sz w:val="17"/>
              </w:rPr>
              <w:t>FAQ 5.19 no. 5</w:t>
            </w:r>
          </w:p>
        </w:tc>
      </w:tr>
      <w:tr>
        <w:tc>
          <w:tcPr>
            <w:tcW w:type="dxa" w:w="2948"/>
          </w:tcPr>
          <w:p>
            <w:pPr>
              <w:spacing w:after="40" w:line="252" w:lineRule="auto"/>
            </w:pPr>
            <w:r>
              <w:rPr>
                <w:b w:val="0"/>
                <w:i w:val="0"/>
                <w:sz w:val="17"/>
              </w:rPr>
              <w:t>Information as a trader or downstream operator</w:t>
            </w:r>
          </w:p>
        </w:tc>
        <w:tc>
          <w:tcPr>
            <w:tcW w:type="dxa" w:w="1474"/>
          </w:tcPr>
          <w:p>
            <w:pPr>
              <w:spacing w:after="40" w:line="252" w:lineRule="auto"/>
            </w:pPr>
            <w:r>
              <w:rPr>
                <w:b w:val="0"/>
                <w:i w:val="0"/>
                <w:sz w:val="17"/>
              </w:rPr>
              <w:t>five years</w:t>
            </w:r>
          </w:p>
        </w:tc>
        <w:tc>
          <w:tcPr>
            <w:tcW w:type="dxa" w:w="2835"/>
          </w:tcPr>
          <w:p>
            <w:pPr>
              <w:spacing w:after="40" w:line="252" w:lineRule="auto"/>
            </w:pPr>
            <w:r>
              <w:rPr>
                <w:b w:val="0"/>
                <w:i w:val="0"/>
                <w:sz w:val="17"/>
              </w:rPr>
              <w:t>placing on the market, making available or export</w:t>
            </w:r>
          </w:p>
        </w:tc>
        <w:tc>
          <w:tcPr>
            <w:tcW w:type="dxa" w:w="2381"/>
          </w:tcPr>
          <w:p>
            <w:pPr>
              <w:spacing w:after="40" w:line="252" w:lineRule="auto"/>
            </w:pPr>
            <w:r>
              <w:rPr>
                <w:b w:val="0"/>
                <w:i w:val="0"/>
                <w:sz w:val="17"/>
              </w:rPr>
              <w:t>Art. 5(4)</w:t>
            </w:r>
          </w:p>
        </w:tc>
      </w:tr>
    </w:tbl>
    <w:p>
      <w:pPr>
        <w:spacing w:after="40"/>
      </w:pPr>
    </w:p>
    <w:p>
      <w:r>
        <w:rPr>
          <w:b/>
          <w:sz w:val="18"/>
        </w:rPr>
        <w:t xml:space="preserve">Evidence in the file: </w:t>
      </w:r>
      <w:r>
        <w:rPr>
          <w:b w:val="0"/>
          <w:i w:val="0"/>
          <w:sz w:val="18"/>
        </w:rPr>
        <w:t>Filing plan; sample file for the reference number of the first annual statement (route A)</w:t>
      </w:r>
    </w:p>
    <w:p>
      <w:pPr>
        <w:pStyle w:val="Heading2"/>
      </w:pPr>
      <w:r>
        <w:t>Building block 12: Review, update, public report</w:t>
      </w:r>
    </w:p>
    <w:p>
      <w:r>
        <w:rPr>
          <w:b/>
          <w:sz w:val="18"/>
        </w:rPr>
        <w:t xml:space="preserve">Legal basis: </w:t>
      </w:r>
      <w:r>
        <w:rPr>
          <w:b w:val="0"/>
          <w:i w:val="0"/>
          <w:sz w:val="18"/>
        </w:rPr>
        <w:t>Art. 12(2) to (4); Commission guidelines section 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Field</w:t>
            </w:r>
          </w:p>
        </w:tc>
        <w:tc>
          <w:tcPr>
            <w:tcW w:type="dxa" w:w="7030"/>
            <w:shd w:val="clear" w:color="auto" w:fill="D9E2EC"/>
          </w:tcPr>
          <w:p>
            <w:pPr>
              <w:spacing w:after="40" w:line="252" w:lineRule="auto"/>
            </w:pPr>
            <w:r>
              <w:rPr>
                <w:b/>
                <w:i w:val="0"/>
                <w:sz w:val="18"/>
              </w:rPr>
              <w:t>Entry</w:t>
            </w:r>
          </w:p>
        </w:tc>
      </w:tr>
      <w:tr>
        <w:tc>
          <w:tcPr>
            <w:tcW w:type="dxa" w:w="2608"/>
          </w:tcPr>
          <w:p>
            <w:pPr>
              <w:spacing w:after="40" w:line="252" w:lineRule="auto"/>
            </w:pPr>
            <w:r>
              <w:rPr>
                <w:b/>
                <w:i w:val="0"/>
                <w:sz w:val="18"/>
              </w:rPr>
              <w:t>Annual review</w:t>
            </w:r>
          </w:p>
        </w:tc>
        <w:tc>
          <w:tcPr>
            <w:tcW w:type="dxa" w:w="7030"/>
          </w:tcPr>
          <w:p>
            <w:pPr>
              <w:spacing w:after="40" w:line="252" w:lineRule="auto"/>
            </w:pPr>
            <w:r>
              <w:rPr>
                <w:b w:val="0"/>
                <w:i w:val="0"/>
                <w:sz w:val="18"/>
              </w:rPr>
              <w:t>Every November by the quality management officer, who is not involved in EUDR processes; review points under Annex F; list of weaknesses with deadlines set by management. Carried out before the first approval on 10 December 2026 (Annex F).</w:t>
            </w:r>
          </w:p>
        </w:tc>
      </w:tr>
      <w:tr>
        <w:tc>
          <w:tcPr>
            <w:tcW w:type="dxa" w:w="2608"/>
          </w:tcPr>
          <w:p>
            <w:pPr>
              <w:spacing w:after="40" w:line="252" w:lineRule="auto"/>
            </w:pPr>
            <w:r>
              <w:rPr>
                <w:b/>
                <w:i w:val="0"/>
                <w:sz w:val="18"/>
              </w:rPr>
              <w:t>Triggers for an immediate update</w:t>
            </w:r>
          </w:p>
        </w:tc>
        <w:tc>
          <w:tcPr>
            <w:tcW w:type="dxa" w:w="7030"/>
          </w:tcPr>
          <w:p>
            <w:pPr>
              <w:spacing w:after="40" w:line="252" w:lineRule="auto"/>
            </w:pPr>
            <w:r>
              <w:rPr>
                <w:b w:val="0"/>
                <w:i w:val="0"/>
                <w:sz w:val="18"/>
              </w:rPr>
              <w:t>As in the template; in addition every factory visit with a finding.</w:t>
            </w:r>
          </w:p>
        </w:tc>
      </w:tr>
      <w:tr>
        <w:tc>
          <w:tcPr>
            <w:tcW w:type="dxa" w:w="2608"/>
          </w:tcPr>
          <w:p>
            <w:pPr>
              <w:spacing w:after="40" w:line="252" w:lineRule="auto"/>
            </w:pPr>
            <w:r>
              <w:rPr>
                <w:b/>
                <w:i w:val="0"/>
                <w:sz w:val="18"/>
              </w:rPr>
              <w:t>Change log</w:t>
            </w:r>
          </w:p>
        </w:tc>
        <w:tc>
          <w:tcPr>
            <w:tcW w:type="dxa" w:w="7030"/>
          </w:tcPr>
          <w:p>
            <w:pPr>
              <w:spacing w:after="40" w:line="252" w:lineRule="auto"/>
            </w:pPr>
            <w:r>
              <w:rPr>
                <w:b w:val="0"/>
                <w:i w:val="0"/>
                <w:sz w:val="18"/>
              </w:rPr>
              <w:t>See document control; kept for five years.</w:t>
            </w:r>
          </w:p>
        </w:tc>
      </w:tr>
      <w:tr>
        <w:tc>
          <w:tcPr>
            <w:tcW w:type="dxa" w:w="2608"/>
          </w:tcPr>
          <w:p>
            <w:pPr>
              <w:spacing w:after="40" w:line="252" w:lineRule="auto"/>
            </w:pPr>
            <w:r>
              <w:rPr>
                <w:b/>
                <w:i w:val="0"/>
                <w:sz w:val="18"/>
              </w:rPr>
              <w:t>Public report</w:t>
            </w:r>
          </w:p>
        </w:tc>
        <w:tc>
          <w:tcPr>
            <w:tcW w:type="dxa" w:w="7030"/>
          </w:tcPr>
          <w:p>
            <w:pPr>
              <w:spacing w:after="40" w:line="252" w:lineRule="auto"/>
            </w:pPr>
            <w:r>
              <w:rPr>
                <w:b w:val="0"/>
                <w:i w:val="0"/>
                <w:sz w:val="18"/>
              </w:rPr>
              <w:t>For 2027 in the first quarter of 2028 on the company's own website, because the company does not prepare a sustainability report (assumption of the example); responsible: compliance officer; data protection check by the data protection officer; approval by management; outline Annex G.</w:t>
            </w:r>
          </w:p>
        </w:tc>
      </w:tr>
    </w:tbl>
    <w:p>
      <w:pPr>
        <w:spacing w:after="40"/>
      </w:pPr>
    </w:p>
    <w:p>
      <w:r>
        <w:rPr>
          <w:b/>
          <w:sz w:val="18"/>
        </w:rPr>
        <w:t xml:space="preserve">Evidence in the file: </w:t>
      </w:r>
      <w:r>
        <w:rPr>
          <w:b w:val="0"/>
          <w:i w:val="0"/>
          <w:sz w:val="18"/>
        </w:rPr>
        <w:t>Review record (Annex F), change log, report from 2028</w:t>
      </w:r>
    </w:p>
    <w:p>
      <w:pPr>
        <w:pStyle w:val="Heading1"/>
      </w:pPr>
      <w:r>
        <w:t>Annexes</w:t>
      </w:r>
    </w:p>
    <w:p>
      <w:pPr>
        <w:pStyle w:val="Heading2"/>
      </w:pPr>
      <w:r>
        <w:t>Annex A: Obligations as a trader or downstream operator (Art. 5)</w:t>
      </w:r>
    </w:p>
    <w:p>
      <w:r>
        <w:rPr>
          <w:b w:val="0"/>
          <w:i w:val="0"/>
          <w:sz w:val="18"/>
        </w:rPr>
        <w:t>Only fill in if you also buy products that another operator has already placed on the market. Article 12 does not apply to these routes.</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1361"/>
        <w:gridCol w:w="1474"/>
        <w:gridCol w:w="3175"/>
      </w:tblGrid>
      <w:tr>
        <w:trPr>
          <w:tblHeader w:val="true"/>
        </w:trPr>
        <w:tc>
          <w:tcPr>
            <w:tcW w:type="dxa" w:w="3628"/>
            <w:shd w:val="clear" w:color="auto" w:fill="D9E2EC"/>
          </w:tcPr>
          <w:p>
            <w:pPr>
              <w:spacing w:after="40" w:line="252" w:lineRule="auto"/>
            </w:pPr>
            <w:r>
              <w:rPr>
                <w:b/>
                <w:i w:val="0"/>
                <w:sz w:val="17"/>
              </w:rPr>
              <w:t>Obligation</w:t>
            </w:r>
          </w:p>
        </w:tc>
        <w:tc>
          <w:tcPr>
            <w:tcW w:type="dxa" w:w="1361"/>
            <w:shd w:val="clear" w:color="auto" w:fill="D9E2EC"/>
          </w:tcPr>
          <w:p>
            <w:pPr>
              <w:spacing w:after="40" w:line="252" w:lineRule="auto"/>
            </w:pPr>
            <w:r>
              <w:rPr>
                <w:b/>
                <w:i w:val="0"/>
                <w:sz w:val="17"/>
              </w:rPr>
              <w:t>Legal source</w:t>
            </w:r>
          </w:p>
        </w:tc>
        <w:tc>
          <w:tcPr>
            <w:tcW w:type="dxa" w:w="1474"/>
            <w:shd w:val="clear" w:color="auto" w:fill="D9E2EC"/>
          </w:tcPr>
          <w:p>
            <w:pPr>
              <w:spacing w:after="40" w:line="252" w:lineRule="auto"/>
            </w:pPr>
            <w:r>
              <w:rPr>
                <w:b/>
                <w:i w:val="0"/>
                <w:sz w:val="17"/>
              </w:rPr>
              <w:t>applies to</w:t>
            </w:r>
          </w:p>
        </w:tc>
        <w:tc>
          <w:tcPr>
            <w:tcW w:type="dxa" w:w="3175"/>
            <w:shd w:val="clear" w:color="auto" w:fill="D9E2EC"/>
          </w:tcPr>
          <w:p>
            <w:pPr>
              <w:spacing w:after="40" w:line="252" w:lineRule="auto"/>
            </w:pPr>
            <w:r>
              <w:rPr>
                <w:b/>
                <w:i w:val="0"/>
                <w:sz w:val="17"/>
              </w:rPr>
              <w:t>Implementation in the company</w:t>
            </w:r>
          </w:p>
        </w:tc>
      </w:tr>
      <w:tr>
        <w:tc>
          <w:tcPr>
            <w:tcW w:type="dxa" w:w="3628"/>
          </w:tcPr>
          <w:p>
            <w:pPr>
              <w:spacing w:after="40" w:line="252" w:lineRule="auto"/>
            </w:pPr>
            <w:r>
              <w:rPr>
                <w:b w:val="0"/>
                <w:i w:val="0"/>
                <w:sz w:val="17"/>
              </w:rPr>
              <w:t>Details of suppliers and customers; reference numbers only where the supplier is an operator. The manufacturers in Poland and Germany make the furniture from wood covered by a due diligence statement and are downstream operators.</w:t>
            </w:r>
          </w:p>
        </w:tc>
        <w:tc>
          <w:tcPr>
            <w:tcW w:type="dxa" w:w="1361"/>
          </w:tcPr>
          <w:p>
            <w:pPr>
              <w:spacing w:after="40" w:line="252" w:lineRule="auto"/>
            </w:pPr>
            <w:r>
              <w:rPr>
                <w:b w:val="0"/>
                <w:i w:val="0"/>
                <w:sz w:val="17"/>
              </w:rPr>
              <w:t>Art. 5(3)</w:t>
            </w:r>
          </w:p>
        </w:tc>
        <w:tc>
          <w:tcPr>
            <w:tcW w:type="dxa" w:w="1474"/>
          </w:tcPr>
          <w:p>
            <w:pPr>
              <w:spacing w:after="40" w:line="252" w:lineRule="auto"/>
            </w:pPr>
            <w:r>
              <w:rPr>
                <w:b w:val="0"/>
                <w:i w:val="0"/>
                <w:sz w:val="17"/>
              </w:rPr>
              <w:t>all</w:t>
            </w:r>
          </w:p>
        </w:tc>
        <w:tc>
          <w:tcPr>
            <w:tcW w:type="dxa" w:w="3175"/>
          </w:tcPr>
          <w:p>
            <w:pPr>
              <w:spacing w:after="40" w:line="252" w:lineRule="auto"/>
            </w:pPr>
            <w:r>
              <w:rPr>
                <w:b w:val="0"/>
                <w:i w:val="0"/>
                <w:sz w:val="17"/>
              </w:rPr>
              <w:t>In the merchandise management system per supplier and customer, purchasing and sales</w:t>
            </w:r>
          </w:p>
        </w:tc>
      </w:tr>
      <w:tr>
        <w:tc>
          <w:tcPr>
            <w:tcW w:type="dxa" w:w="3628"/>
          </w:tcPr>
          <w:p>
            <w:pPr>
              <w:spacing w:after="40" w:line="252" w:lineRule="auto"/>
            </w:pPr>
            <w:r>
              <w:rPr>
                <w:b w:val="0"/>
                <w:i w:val="0"/>
                <w:sz w:val="17"/>
              </w:rPr>
              <w:t>Keeping the information</w:t>
            </w:r>
          </w:p>
        </w:tc>
        <w:tc>
          <w:tcPr>
            <w:tcW w:type="dxa" w:w="1361"/>
          </w:tcPr>
          <w:p>
            <w:pPr>
              <w:spacing w:after="40" w:line="252" w:lineRule="auto"/>
            </w:pPr>
            <w:r>
              <w:rPr>
                <w:b w:val="0"/>
                <w:i w:val="0"/>
                <w:sz w:val="17"/>
              </w:rPr>
              <w:t>Art. 5(4)</w:t>
            </w:r>
          </w:p>
        </w:tc>
        <w:tc>
          <w:tcPr>
            <w:tcW w:type="dxa" w:w="1474"/>
          </w:tcPr>
          <w:p>
            <w:pPr>
              <w:spacing w:after="40" w:line="252" w:lineRule="auto"/>
            </w:pPr>
            <w:r>
              <w:rPr>
                <w:b w:val="0"/>
                <w:i w:val="0"/>
                <w:sz w:val="17"/>
              </w:rPr>
              <w:t>all</w:t>
            </w:r>
          </w:p>
        </w:tc>
        <w:tc>
          <w:tcPr>
            <w:tcW w:type="dxa" w:w="3175"/>
          </w:tcPr>
          <w:p>
            <w:pPr>
              <w:spacing w:after="40" w:line="252" w:lineRule="auto"/>
            </w:pPr>
            <w:r>
              <w:rPr>
                <w:b w:val="0"/>
                <w:i w:val="0"/>
                <w:sz w:val="17"/>
              </w:rPr>
              <w:t>Five years in the document management system</w:t>
            </w:r>
          </w:p>
        </w:tc>
      </w:tr>
      <w:tr>
        <w:tc>
          <w:tcPr>
            <w:tcW w:type="dxa" w:w="3628"/>
          </w:tcPr>
          <w:p>
            <w:pPr>
              <w:spacing w:after="40" w:line="252" w:lineRule="auto"/>
            </w:pPr>
            <w:r>
              <w:rPr>
                <w:b w:val="0"/>
                <w:i w:val="0"/>
                <w:sz w:val="17"/>
              </w:rPr>
              <w:t>Informing on new information</w:t>
            </w:r>
          </w:p>
        </w:tc>
        <w:tc>
          <w:tcPr>
            <w:tcW w:type="dxa" w:w="1361"/>
          </w:tcPr>
          <w:p>
            <w:pPr>
              <w:spacing w:after="40" w:line="252" w:lineRule="auto"/>
            </w:pPr>
            <w:r>
              <w:rPr>
                <w:b w:val="0"/>
                <w:i w:val="0"/>
                <w:sz w:val="17"/>
              </w:rPr>
              <w:t>Art. 5(5)</w:t>
            </w:r>
          </w:p>
        </w:tc>
        <w:tc>
          <w:tcPr>
            <w:tcW w:type="dxa" w:w="1474"/>
          </w:tcPr>
          <w:p>
            <w:pPr>
              <w:spacing w:after="40" w:line="252" w:lineRule="auto"/>
            </w:pPr>
            <w:r>
              <w:rPr>
                <w:b w:val="0"/>
                <w:i w:val="0"/>
                <w:sz w:val="17"/>
              </w:rPr>
              <w:t>all</w:t>
            </w:r>
          </w:p>
        </w:tc>
        <w:tc>
          <w:tcPr>
            <w:tcW w:type="dxa" w:w="3175"/>
          </w:tcPr>
          <w:p>
            <w:pPr>
              <w:spacing w:after="40" w:line="252" w:lineRule="auto"/>
            </w:pPr>
            <w:r>
              <w:rPr>
                <w:b w:val="0"/>
                <w:i w:val="0"/>
                <w:sz w:val="17"/>
              </w:rPr>
              <w:t>As in block 9</w:t>
            </w:r>
          </w:p>
        </w:tc>
      </w:tr>
      <w:tr>
        <w:tc>
          <w:tcPr>
            <w:tcW w:type="dxa" w:w="3628"/>
          </w:tcPr>
          <w:p>
            <w:pPr>
              <w:spacing w:after="40" w:line="252" w:lineRule="auto"/>
            </w:pPr>
            <w:r>
              <w:rPr>
                <w:b w:val="0"/>
                <w:i w:val="0"/>
                <w:sz w:val="17"/>
              </w:rPr>
              <w:t>Registration in the information system</w:t>
            </w:r>
          </w:p>
        </w:tc>
        <w:tc>
          <w:tcPr>
            <w:tcW w:type="dxa" w:w="1361"/>
          </w:tcPr>
          <w:p>
            <w:pPr>
              <w:spacing w:after="40" w:line="252" w:lineRule="auto"/>
            </w:pPr>
            <w:r>
              <w:rPr>
                <w:b w:val="0"/>
                <w:i w:val="0"/>
                <w:sz w:val="17"/>
              </w:rPr>
              <w:t>Art. 5(2)</w:t>
            </w:r>
          </w:p>
        </w:tc>
        <w:tc>
          <w:tcPr>
            <w:tcW w:type="dxa" w:w="1474"/>
          </w:tcPr>
          <w:p>
            <w:pPr>
              <w:spacing w:after="40" w:line="252" w:lineRule="auto"/>
            </w:pPr>
            <w:r>
              <w:rPr>
                <w:b w:val="0"/>
                <w:i w:val="0"/>
                <w:sz w:val="17"/>
              </w:rPr>
              <w:t>non-SMEs only</w:t>
            </w:r>
          </w:p>
        </w:tc>
        <w:tc>
          <w:tcPr>
            <w:tcW w:type="dxa" w:w="3175"/>
          </w:tcPr>
          <w:p>
            <w:pPr>
              <w:spacing w:after="40" w:line="252" w:lineRule="auto"/>
            </w:pPr>
            <w:r>
              <w:rPr>
                <w:b w:val="0"/>
                <w:i w:val="0"/>
                <w:sz w:val="17"/>
              </w:rPr>
              <w:t>Done in November 2026</w:t>
            </w:r>
          </w:p>
        </w:tc>
      </w:tr>
      <w:tr>
        <w:tc>
          <w:tcPr>
            <w:tcW w:type="dxa" w:w="3628"/>
          </w:tcPr>
          <w:p>
            <w:pPr>
              <w:spacing w:after="40" w:line="252" w:lineRule="auto"/>
            </w:pPr>
            <w:r>
              <w:rPr>
                <w:b w:val="0"/>
                <w:i w:val="0"/>
                <w:sz w:val="17"/>
              </w:rPr>
              <w:t>Check on substantiated concerns</w:t>
            </w:r>
          </w:p>
        </w:tc>
        <w:tc>
          <w:tcPr>
            <w:tcW w:type="dxa" w:w="1361"/>
          </w:tcPr>
          <w:p>
            <w:pPr>
              <w:spacing w:after="40" w:line="252" w:lineRule="auto"/>
            </w:pPr>
            <w:r>
              <w:rPr>
                <w:b w:val="0"/>
                <w:i w:val="0"/>
                <w:sz w:val="17"/>
              </w:rPr>
              <w:t>Art. 5(6)</w:t>
            </w:r>
          </w:p>
        </w:tc>
        <w:tc>
          <w:tcPr>
            <w:tcW w:type="dxa" w:w="1474"/>
          </w:tcPr>
          <w:p>
            <w:pPr>
              <w:spacing w:after="40" w:line="252" w:lineRule="auto"/>
            </w:pPr>
            <w:r>
              <w:rPr>
                <w:b w:val="0"/>
                <w:i w:val="0"/>
                <w:sz w:val="17"/>
              </w:rPr>
              <w:t>non-SMEs only</w:t>
            </w:r>
          </w:p>
        </w:tc>
        <w:tc>
          <w:tcPr>
            <w:tcW w:type="dxa" w:w="3175"/>
          </w:tcPr>
          <w:p>
            <w:pPr>
              <w:spacing w:after="40" w:line="252" w:lineRule="auto"/>
            </w:pPr>
            <w:r>
              <w:rPr>
                <w:b w:val="0"/>
                <w:i w:val="0"/>
                <w:sz w:val="17"/>
              </w:rPr>
              <w:t>EUDR team; result in the notification log</w:t>
            </w:r>
          </w:p>
        </w:tc>
      </w:tr>
    </w:tbl>
    <w:p>
      <w:pPr>
        <w:spacing w:after="40"/>
      </w:pPr>
    </w:p>
    <w:p>
      <w:pPr>
        <w:pStyle w:val="Heading2"/>
      </w:pPr>
      <w:r>
        <w:t>Annex B: Product list</w:t>
      </w:r>
    </w:p>
    <w:p>
      <w:r>
        <w:rPr>
          <w:b w:val="0"/>
          <w:i w:val="0"/>
          <w:sz w:val="18"/>
        </w:rPr>
        <w:t>One row per product or product group; state the date.</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10"/>
        <w:gridCol w:w="1474"/>
        <w:gridCol w:w="2041"/>
        <w:gridCol w:w="2041"/>
        <w:gridCol w:w="737"/>
        <w:gridCol w:w="1247"/>
        <w:gridCol w:w="1587"/>
      </w:tblGrid>
      <w:tr>
        <w:trPr>
          <w:tblHeader w:val="true"/>
        </w:trPr>
        <w:tc>
          <w:tcPr>
            <w:tcW w:type="dxa" w:w="510"/>
            <w:shd w:val="clear" w:color="auto" w:fill="D9E2EC"/>
          </w:tcPr>
          <w:p>
            <w:pPr>
              <w:spacing w:after="40" w:line="252" w:lineRule="auto"/>
            </w:pPr>
            <w:r>
              <w:rPr>
                <w:b/>
                <w:i w:val="0"/>
                <w:sz w:val="17"/>
              </w:rPr>
              <w:t>No.</w:t>
            </w:r>
          </w:p>
        </w:tc>
        <w:tc>
          <w:tcPr>
            <w:tcW w:type="dxa" w:w="1474"/>
            <w:shd w:val="clear" w:color="auto" w:fill="D9E2EC"/>
          </w:tcPr>
          <w:p>
            <w:pPr>
              <w:spacing w:after="40" w:line="252" w:lineRule="auto"/>
            </w:pPr>
            <w:r>
              <w:rPr>
                <w:b/>
                <w:i w:val="0"/>
                <w:sz w:val="17"/>
              </w:rPr>
              <w:t>Code under Annex I</w:t>
            </w:r>
          </w:p>
        </w:tc>
        <w:tc>
          <w:tcPr>
            <w:tcW w:type="dxa" w:w="2041"/>
            <w:shd w:val="clear" w:color="auto" w:fill="D9E2EC"/>
          </w:tcPr>
          <w:p>
            <w:pPr>
              <w:spacing w:after="40" w:line="252" w:lineRule="auto"/>
            </w:pPr>
            <w:r>
              <w:rPr>
                <w:b/>
                <w:i w:val="0"/>
                <w:sz w:val="17"/>
              </w:rPr>
              <w:t>Description</w:t>
            </w:r>
          </w:p>
        </w:tc>
        <w:tc>
          <w:tcPr>
            <w:tcW w:type="dxa" w:w="2041"/>
            <w:shd w:val="clear" w:color="auto" w:fill="D9E2EC"/>
          </w:tcPr>
          <w:p>
            <w:pPr>
              <w:spacing w:after="40" w:line="252" w:lineRule="auto"/>
            </w:pPr>
            <w:r>
              <w:rPr>
                <w:b/>
                <w:i w:val="0"/>
                <w:sz w:val="17"/>
              </w:rPr>
              <w:t>Commodity, species</w:t>
            </w:r>
          </w:p>
        </w:tc>
        <w:tc>
          <w:tcPr>
            <w:tcW w:type="dxa" w:w="737"/>
            <w:shd w:val="clear" w:color="auto" w:fill="D9E2EC"/>
          </w:tcPr>
          <w:p>
            <w:pPr>
              <w:spacing w:after="40" w:line="252" w:lineRule="auto"/>
            </w:pPr>
            <w:r>
              <w:rPr>
                <w:b/>
                <w:i w:val="0"/>
                <w:sz w:val="17"/>
              </w:rPr>
              <w:t>Route</w:t>
            </w:r>
          </w:p>
        </w:tc>
        <w:tc>
          <w:tcPr>
            <w:tcW w:type="dxa" w:w="1247"/>
            <w:shd w:val="clear" w:color="auto" w:fill="D9E2EC"/>
          </w:tcPr>
          <w:p>
            <w:pPr>
              <w:spacing w:after="40" w:line="252" w:lineRule="auto"/>
            </w:pPr>
            <w:r>
              <w:rPr>
                <w:b/>
                <w:i w:val="0"/>
                <w:sz w:val="17"/>
              </w:rPr>
              <w:t>applies from</w:t>
            </w:r>
          </w:p>
        </w:tc>
        <w:tc>
          <w:tcPr>
            <w:tcW w:type="dxa" w:w="1587"/>
            <w:shd w:val="clear" w:color="auto" w:fill="D9E2EC"/>
          </w:tcPr>
          <w:p>
            <w:pPr>
              <w:spacing w:after="40" w:line="252" w:lineRule="auto"/>
            </w:pPr>
            <w:r>
              <w:rPr>
                <w:b/>
                <w:i w:val="0"/>
                <w:sz w:val="17"/>
              </w:rPr>
              <w:t>EUTR Annex</w:t>
            </w:r>
          </w:p>
        </w:tc>
      </w:tr>
      <w:tr>
        <w:tc>
          <w:tcPr>
            <w:tcW w:type="dxa" w:w="510"/>
          </w:tcPr>
          <w:p>
            <w:pPr>
              <w:spacing w:after="40" w:line="252" w:lineRule="auto"/>
            </w:pPr>
            <w:r>
              <w:rPr>
                <w:b w:val="0"/>
                <w:i w:val="0"/>
                <w:sz w:val="17"/>
              </w:rPr>
              <w:t>1</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Teak garden tables</w:t>
            </w:r>
          </w:p>
        </w:tc>
        <w:tc>
          <w:tcPr>
            <w:tcW w:type="dxa" w:w="2041"/>
          </w:tcPr>
          <w:p>
            <w:pPr>
              <w:spacing w:after="40" w:line="252" w:lineRule="auto"/>
            </w:pPr>
            <w:r>
              <w:rPr>
                <w:b w:val="0"/>
                <w:i w:val="0"/>
                <w:sz w:val="17"/>
              </w:rPr>
              <w:t>Wood, Tectona grandis</w:t>
            </w:r>
          </w:p>
        </w:tc>
        <w:tc>
          <w:tcPr>
            <w:tcW w:type="dxa" w:w="737"/>
          </w:tcPr>
          <w:p>
            <w:pPr>
              <w:spacing w:after="40" w:line="252" w:lineRule="auto"/>
            </w:pPr>
            <w:r>
              <w:rPr>
                <w:b w:val="0"/>
                <w:i w:val="0"/>
                <w:sz w:val="17"/>
              </w:rPr>
              <w:t>A</w:t>
            </w:r>
          </w:p>
        </w:tc>
        <w:tc>
          <w:tcPr>
            <w:tcW w:type="dxa" w:w="1247"/>
          </w:tcPr>
          <w:p>
            <w:pPr>
              <w:spacing w:after="40" w:line="252" w:lineRule="auto"/>
            </w:pPr>
            <w:r>
              <w:rPr>
                <w:b w:val="0"/>
                <w:i w:val="0"/>
                <w:sz w:val="17"/>
              </w:rPr>
              <w:t>30 Dec 2026</w:t>
            </w:r>
          </w:p>
        </w:tc>
        <w:tc>
          <w:tcPr>
            <w:tcW w:type="dxa" w:w="1587"/>
          </w:tcPr>
          <w:p>
            <w:pPr>
              <w:spacing w:after="40" w:line="252" w:lineRule="auto"/>
            </w:pPr>
            <w:r>
              <w:rPr>
                <w:b w:val="0"/>
                <w:i w:val="0"/>
                <w:sz w:val="17"/>
              </w:rPr>
              <w:t>n/a (non-SME)</w:t>
            </w:r>
          </w:p>
        </w:tc>
      </w:tr>
      <w:tr>
        <w:tc>
          <w:tcPr>
            <w:tcW w:type="dxa" w:w="510"/>
          </w:tcPr>
          <w:p>
            <w:pPr>
              <w:spacing w:after="40" w:line="252" w:lineRule="auto"/>
            </w:pPr>
            <w:r>
              <w:rPr>
                <w:b w:val="0"/>
                <w:i w:val="0"/>
                <w:sz w:val="17"/>
              </w:rPr>
              <w:t>2</w:t>
            </w:r>
          </w:p>
        </w:tc>
        <w:tc>
          <w:tcPr>
            <w:tcW w:type="dxa" w:w="1474"/>
          </w:tcPr>
          <w:p>
            <w:pPr>
              <w:spacing w:after="40" w:line="252" w:lineRule="auto"/>
            </w:pPr>
            <w:r>
              <w:rPr>
                <w:b w:val="0"/>
                <w:i w:val="0"/>
                <w:sz w:val="17"/>
              </w:rPr>
              <w:t>ex 9401 69 00</w:t>
            </w:r>
          </w:p>
        </w:tc>
        <w:tc>
          <w:tcPr>
            <w:tcW w:type="dxa" w:w="2041"/>
          </w:tcPr>
          <w:p>
            <w:pPr>
              <w:spacing w:after="40" w:line="252" w:lineRule="auto"/>
            </w:pPr>
            <w:r>
              <w:rPr>
                <w:b w:val="0"/>
                <w:i w:val="0"/>
                <w:sz w:val="17"/>
              </w:rPr>
              <w:t>Teak garden benches</w:t>
            </w:r>
          </w:p>
        </w:tc>
        <w:tc>
          <w:tcPr>
            <w:tcW w:type="dxa" w:w="2041"/>
          </w:tcPr>
          <w:p>
            <w:pPr>
              <w:spacing w:after="40" w:line="252" w:lineRule="auto"/>
            </w:pPr>
            <w:r>
              <w:rPr>
                <w:b w:val="0"/>
                <w:i w:val="0"/>
                <w:sz w:val="17"/>
              </w:rPr>
              <w:t>Wood, Tectona grandis</w:t>
            </w:r>
          </w:p>
        </w:tc>
        <w:tc>
          <w:tcPr>
            <w:tcW w:type="dxa" w:w="737"/>
          </w:tcPr>
          <w:p>
            <w:pPr>
              <w:spacing w:after="40" w:line="252" w:lineRule="auto"/>
            </w:pPr>
            <w:r>
              <w:rPr>
                <w:b w:val="0"/>
                <w:i w:val="0"/>
                <w:sz w:val="17"/>
              </w:rPr>
              <w:t>A</w:t>
            </w:r>
          </w:p>
        </w:tc>
        <w:tc>
          <w:tcPr>
            <w:tcW w:type="dxa" w:w="1247"/>
          </w:tcPr>
          <w:p>
            <w:pPr>
              <w:spacing w:after="40" w:line="252" w:lineRule="auto"/>
            </w:pPr>
            <w:r>
              <w:rPr>
                <w:b w:val="0"/>
                <w:i w:val="0"/>
                <w:sz w:val="17"/>
              </w:rPr>
              <w:t>30 Dec 2026</w:t>
            </w:r>
          </w:p>
        </w:tc>
        <w:tc>
          <w:tcPr>
            <w:tcW w:type="dxa" w:w="1587"/>
          </w:tcPr>
          <w:p>
            <w:pPr>
              <w:spacing w:after="40" w:line="252" w:lineRule="auto"/>
            </w:pPr>
            <w:r>
              <w:rPr>
                <w:b w:val="0"/>
                <w:i w:val="0"/>
                <w:sz w:val="17"/>
              </w:rPr>
              <w:t>n/a (non-SME)</w:t>
            </w:r>
          </w:p>
        </w:tc>
      </w:tr>
      <w:tr>
        <w:tc>
          <w:tcPr>
            <w:tcW w:type="dxa" w:w="510"/>
          </w:tcPr>
          <w:p>
            <w:pPr>
              <w:spacing w:after="40" w:line="252" w:lineRule="auto"/>
            </w:pPr>
            <w:r>
              <w:rPr>
                <w:b w:val="0"/>
                <w:i w:val="0"/>
                <w:sz w:val="17"/>
              </w:rPr>
              <w:t>3</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Chests of drawers</w:t>
            </w:r>
          </w:p>
        </w:tc>
        <w:tc>
          <w:tcPr>
            <w:tcW w:type="dxa" w:w="2041"/>
          </w:tcPr>
          <w:p>
            <w:pPr>
              <w:spacing w:after="40" w:line="252" w:lineRule="auto"/>
            </w:pPr>
            <w:r>
              <w:rPr>
                <w:b w:val="0"/>
                <w:i w:val="0"/>
                <w:sz w:val="17"/>
              </w:rPr>
              <w:t>Wood, Hevea brasiliensis</w:t>
            </w:r>
          </w:p>
        </w:tc>
        <w:tc>
          <w:tcPr>
            <w:tcW w:type="dxa" w:w="737"/>
          </w:tcPr>
          <w:p>
            <w:pPr>
              <w:spacing w:after="40" w:line="252" w:lineRule="auto"/>
            </w:pPr>
            <w:r>
              <w:rPr>
                <w:b w:val="0"/>
                <w:i w:val="0"/>
                <w:sz w:val="17"/>
              </w:rPr>
              <w:t>B</w:t>
            </w:r>
          </w:p>
        </w:tc>
        <w:tc>
          <w:tcPr>
            <w:tcW w:type="dxa" w:w="1247"/>
          </w:tcPr>
          <w:p>
            <w:pPr>
              <w:spacing w:after="40" w:line="252" w:lineRule="auto"/>
            </w:pPr>
            <w:r>
              <w:rPr>
                <w:b w:val="0"/>
                <w:i w:val="0"/>
                <w:sz w:val="17"/>
              </w:rPr>
              <w:t>30 Dec 2026</w:t>
            </w:r>
          </w:p>
        </w:tc>
        <w:tc>
          <w:tcPr>
            <w:tcW w:type="dxa" w:w="1587"/>
          </w:tcPr>
          <w:p>
            <w:pPr>
              <w:spacing w:after="40" w:line="252" w:lineRule="auto"/>
            </w:pPr>
            <w:r>
              <w:rPr>
                <w:b w:val="0"/>
                <w:i w:val="0"/>
                <w:sz w:val="17"/>
              </w:rPr>
              <w:t>n/a (non-SME)</w:t>
            </w:r>
          </w:p>
        </w:tc>
      </w:tr>
      <w:tr>
        <w:tc>
          <w:tcPr>
            <w:tcW w:type="dxa" w:w="510"/>
          </w:tcPr>
          <w:p>
            <w:pPr>
              <w:spacing w:after="40" w:line="252" w:lineRule="auto"/>
            </w:pPr>
            <w:r>
              <w:rPr>
                <w:b w:val="0"/>
                <w:i w:val="0"/>
                <w:sz w:val="17"/>
              </w:rPr>
              <w:t>4</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Shelving</w:t>
            </w:r>
          </w:p>
        </w:tc>
        <w:tc>
          <w:tcPr>
            <w:tcW w:type="dxa" w:w="2041"/>
          </w:tcPr>
          <w:p>
            <w:pPr>
              <w:spacing w:after="40" w:line="252" w:lineRule="auto"/>
            </w:pPr>
            <w:r>
              <w:rPr>
                <w:b w:val="0"/>
                <w:i w:val="0"/>
                <w:sz w:val="17"/>
              </w:rPr>
              <w:t>Wood, Acacia mangium</w:t>
            </w:r>
          </w:p>
        </w:tc>
        <w:tc>
          <w:tcPr>
            <w:tcW w:type="dxa" w:w="737"/>
          </w:tcPr>
          <w:p>
            <w:pPr>
              <w:spacing w:after="40" w:line="252" w:lineRule="auto"/>
            </w:pPr>
            <w:r>
              <w:rPr>
                <w:b w:val="0"/>
                <w:i w:val="0"/>
                <w:sz w:val="17"/>
              </w:rPr>
              <w:t>B</w:t>
            </w:r>
          </w:p>
        </w:tc>
        <w:tc>
          <w:tcPr>
            <w:tcW w:type="dxa" w:w="1247"/>
          </w:tcPr>
          <w:p>
            <w:pPr>
              <w:spacing w:after="40" w:line="252" w:lineRule="auto"/>
            </w:pPr>
            <w:r>
              <w:rPr>
                <w:b w:val="0"/>
                <w:i w:val="0"/>
                <w:sz w:val="17"/>
              </w:rPr>
              <w:t>30 Dec 2026</w:t>
            </w:r>
          </w:p>
        </w:tc>
        <w:tc>
          <w:tcPr>
            <w:tcW w:type="dxa" w:w="1587"/>
          </w:tcPr>
          <w:p>
            <w:pPr>
              <w:spacing w:after="40" w:line="252" w:lineRule="auto"/>
            </w:pPr>
            <w:r>
              <w:rPr>
                <w:b w:val="0"/>
                <w:i w:val="0"/>
                <w:sz w:val="17"/>
              </w:rPr>
              <w:t>n/a (non-SME)</w:t>
            </w:r>
          </w:p>
        </w:tc>
      </w:tr>
      <w:tr>
        <w:tc>
          <w:tcPr>
            <w:tcW w:type="dxa" w:w="510"/>
          </w:tcPr>
          <w:p>
            <w:pPr>
              <w:spacing w:after="40" w:line="252" w:lineRule="auto"/>
            </w:pPr>
            <w:r>
              <w:rPr>
                <w:b w:val="0"/>
                <w:i w:val="0"/>
                <w:sz w:val="17"/>
              </w:rPr>
              <w:t>5</w:t>
            </w:r>
          </w:p>
        </w:tc>
        <w:tc>
          <w:tcPr>
            <w:tcW w:type="dxa" w:w="1474"/>
          </w:tcPr>
          <w:p>
            <w:pPr>
              <w:spacing w:after="40" w:line="252" w:lineRule="auto"/>
            </w:pPr>
            <w:r>
              <w:rPr>
                <w:b w:val="0"/>
                <w:i w:val="0"/>
                <w:sz w:val="17"/>
              </w:rPr>
              <w:t>ex 9401 61 00</w:t>
            </w:r>
          </w:p>
        </w:tc>
        <w:tc>
          <w:tcPr>
            <w:tcW w:type="dxa" w:w="2041"/>
          </w:tcPr>
          <w:p>
            <w:pPr>
              <w:spacing w:after="40" w:line="252" w:lineRule="auto"/>
            </w:pPr>
            <w:r>
              <w:rPr>
                <w:b w:val="0"/>
                <w:i w:val="0"/>
                <w:sz w:val="17"/>
              </w:rPr>
              <w:t>Upholstered armchairs with wooden frames</w:t>
            </w:r>
          </w:p>
        </w:tc>
        <w:tc>
          <w:tcPr>
            <w:tcW w:type="dxa" w:w="2041"/>
          </w:tcPr>
          <w:p>
            <w:pPr>
              <w:spacing w:after="40" w:line="252" w:lineRule="auto"/>
            </w:pPr>
            <w:r>
              <w:rPr>
                <w:b w:val="0"/>
                <w:i w:val="0"/>
                <w:sz w:val="17"/>
              </w:rPr>
              <w:t>Wood (species stated by supplier)</w:t>
            </w:r>
          </w:p>
        </w:tc>
        <w:tc>
          <w:tcPr>
            <w:tcW w:type="dxa" w:w="737"/>
          </w:tcPr>
          <w:p>
            <w:pPr>
              <w:spacing w:after="40" w:line="252" w:lineRule="auto"/>
            </w:pPr>
            <w:r>
              <w:rPr>
                <w:b w:val="0"/>
                <w:i w:val="0"/>
                <w:sz w:val="17"/>
              </w:rPr>
              <w:t>C</w:t>
            </w:r>
          </w:p>
        </w:tc>
        <w:tc>
          <w:tcPr>
            <w:tcW w:type="dxa" w:w="1247"/>
          </w:tcPr>
          <w:p>
            <w:pPr>
              <w:spacing w:after="40" w:line="252" w:lineRule="auto"/>
            </w:pPr>
            <w:r>
              <w:rPr>
                <w:b w:val="0"/>
                <w:i w:val="0"/>
                <w:sz w:val="17"/>
              </w:rPr>
              <w:t>30 Dec 2026</w:t>
            </w:r>
          </w:p>
        </w:tc>
        <w:tc>
          <w:tcPr>
            <w:tcW w:type="dxa" w:w="1587"/>
          </w:tcPr>
          <w:p>
            <w:pPr>
              <w:spacing w:after="40" w:line="252" w:lineRule="auto"/>
            </w:pPr>
            <w:r>
              <w:rPr>
                <w:b w:val="0"/>
                <w:i w:val="0"/>
                <w:sz w:val="17"/>
              </w:rPr>
              <w:t>n/a (non-SME)</w:t>
            </w:r>
          </w:p>
        </w:tc>
      </w:tr>
      <w:tr>
        <w:tc>
          <w:tcPr>
            <w:tcW w:type="dxa" w:w="510"/>
          </w:tcPr>
          <w:p>
            <w:pPr>
              <w:spacing w:after="40" w:line="252" w:lineRule="auto"/>
            </w:pPr>
            <w:r>
              <w:rPr>
                <w:b w:val="0"/>
                <w:i w:val="0"/>
                <w:sz w:val="17"/>
              </w:rPr>
              <w:t>6</w:t>
            </w:r>
          </w:p>
        </w:tc>
        <w:tc>
          <w:tcPr>
            <w:tcW w:type="dxa" w:w="1474"/>
          </w:tcPr>
          <w:p>
            <w:pPr>
              <w:spacing w:after="40" w:line="252" w:lineRule="auto"/>
            </w:pPr>
            <w:r>
              <w:rPr>
                <w:b w:val="0"/>
                <w:i w:val="0"/>
                <w:sz w:val="17"/>
              </w:rPr>
              <w:t>ex 9403 60</w:t>
            </w:r>
          </w:p>
        </w:tc>
        <w:tc>
          <w:tcPr>
            <w:tcW w:type="dxa" w:w="2041"/>
          </w:tcPr>
          <w:p>
            <w:pPr>
              <w:spacing w:after="40" w:line="252" w:lineRule="auto"/>
            </w:pPr>
            <w:r>
              <w:rPr>
                <w:b w:val="0"/>
                <w:i w:val="0"/>
                <w:sz w:val="17"/>
              </w:rPr>
              <w:t>Dining tables</w:t>
            </w:r>
          </w:p>
        </w:tc>
        <w:tc>
          <w:tcPr>
            <w:tcW w:type="dxa" w:w="2041"/>
          </w:tcPr>
          <w:p>
            <w:pPr>
              <w:spacing w:after="40" w:line="252" w:lineRule="auto"/>
            </w:pPr>
            <w:r>
              <w:rPr>
                <w:b w:val="0"/>
                <w:i w:val="0"/>
                <w:sz w:val="17"/>
              </w:rPr>
              <w:t>Wood (species stated by supplier)</w:t>
            </w:r>
          </w:p>
        </w:tc>
        <w:tc>
          <w:tcPr>
            <w:tcW w:type="dxa" w:w="737"/>
          </w:tcPr>
          <w:p>
            <w:pPr>
              <w:spacing w:after="40" w:line="252" w:lineRule="auto"/>
            </w:pPr>
            <w:r>
              <w:rPr>
                <w:b w:val="0"/>
                <w:i w:val="0"/>
                <w:sz w:val="17"/>
              </w:rPr>
              <w:t>C</w:t>
            </w:r>
          </w:p>
        </w:tc>
        <w:tc>
          <w:tcPr>
            <w:tcW w:type="dxa" w:w="1247"/>
          </w:tcPr>
          <w:p>
            <w:pPr>
              <w:spacing w:after="40" w:line="252" w:lineRule="auto"/>
            </w:pPr>
            <w:r>
              <w:rPr>
                <w:b w:val="0"/>
                <w:i w:val="0"/>
                <w:sz w:val="17"/>
              </w:rPr>
              <w:t>30 Dec 2026</w:t>
            </w:r>
          </w:p>
        </w:tc>
        <w:tc>
          <w:tcPr>
            <w:tcW w:type="dxa" w:w="1587"/>
          </w:tcPr>
          <w:p>
            <w:pPr>
              <w:spacing w:after="40" w:line="252" w:lineRule="auto"/>
            </w:pPr>
            <w:r>
              <w:rPr>
                <w:b w:val="0"/>
                <w:i w:val="0"/>
                <w:sz w:val="17"/>
              </w:rPr>
              <w:t>n/a (non-SME)</w:t>
            </w:r>
          </w:p>
        </w:tc>
      </w:tr>
    </w:tbl>
    <w:p>
      <w:pPr>
        <w:spacing w:after="40"/>
      </w:pPr>
    </w:p>
    <w:p>
      <w:r>
        <w:rPr>
          <w:b w:val="0"/>
          <w:i/>
          <w:sz w:val="17"/>
        </w:rPr>
        <w:t>Extract: 6 of 14 product groups; as of 1 December 2026.</w:t>
      </w:r>
    </w:p>
    <w:p>
      <w:pPr>
        <w:pStyle w:val="Heading2"/>
      </w:pPr>
      <w:r>
        <w:t>Annex C: Sourcing routes and roles</w:t>
      </w:r>
    </w:p>
    <w:p>
      <w:r>
        <w:rPr>
          <w:b w:val="0"/>
          <w:i w:val="0"/>
          <w:sz w:val="18"/>
        </w:rPr>
        <w:t>One row per sourcing route; role and scope of obligations with reasons.</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474"/>
        <w:gridCol w:w="1928"/>
        <w:gridCol w:w="2041"/>
        <w:gridCol w:w="2268"/>
        <w:gridCol w:w="1928"/>
      </w:tblGrid>
      <w:tr>
        <w:trPr>
          <w:tblHeader w:val="true"/>
        </w:trPr>
        <w:tc>
          <w:tcPr>
            <w:tcW w:type="dxa" w:w="1474"/>
            <w:shd w:val="clear" w:color="auto" w:fill="D9E2EC"/>
          </w:tcPr>
          <w:p>
            <w:pPr>
              <w:spacing w:after="40" w:line="252" w:lineRule="auto"/>
            </w:pPr>
            <w:r>
              <w:rPr>
                <w:b/>
                <w:i w:val="0"/>
                <w:sz w:val="17"/>
              </w:rPr>
              <w:t>Route</w:t>
            </w:r>
          </w:p>
        </w:tc>
        <w:tc>
          <w:tcPr>
            <w:tcW w:type="dxa" w:w="1928"/>
            <w:shd w:val="clear" w:color="auto" w:fill="D9E2EC"/>
          </w:tcPr>
          <w:p>
            <w:pPr>
              <w:spacing w:after="40" w:line="252" w:lineRule="auto"/>
            </w:pPr>
            <w:r>
              <w:rPr>
                <w:b/>
                <w:i w:val="0"/>
                <w:sz w:val="17"/>
              </w:rPr>
              <w:t>Products, suppliers</w:t>
            </w:r>
          </w:p>
        </w:tc>
        <w:tc>
          <w:tcPr>
            <w:tcW w:type="dxa" w:w="2041"/>
            <w:shd w:val="clear" w:color="auto" w:fill="D9E2EC"/>
          </w:tcPr>
          <w:p>
            <w:pPr>
              <w:spacing w:after="40" w:line="252" w:lineRule="auto"/>
            </w:pPr>
            <w:r>
              <w:rPr>
                <w:b/>
                <w:i w:val="0"/>
                <w:sz w:val="17"/>
              </w:rPr>
              <w:t>Country of production, country risk (date)</w:t>
            </w:r>
          </w:p>
        </w:tc>
        <w:tc>
          <w:tcPr>
            <w:tcW w:type="dxa" w:w="2268"/>
            <w:shd w:val="clear" w:color="auto" w:fill="D9E2EC"/>
          </w:tcPr>
          <w:p>
            <w:pPr>
              <w:spacing w:after="40" w:line="252" w:lineRule="auto"/>
            </w:pPr>
            <w:r>
              <w:rPr>
                <w:b/>
                <w:i w:val="0"/>
                <w:sz w:val="17"/>
              </w:rPr>
              <w:t>Role, scope of obligations</w:t>
            </w:r>
          </w:p>
        </w:tc>
        <w:tc>
          <w:tcPr>
            <w:tcW w:type="dxa" w:w="1928"/>
            <w:shd w:val="clear" w:color="auto" w:fill="D9E2EC"/>
          </w:tcPr>
          <w:p>
            <w:pPr>
              <w:spacing w:after="40" w:line="252" w:lineRule="auto"/>
            </w:pPr>
            <w:r>
              <w:rPr>
                <w:b/>
                <w:i w:val="0"/>
                <w:sz w:val="17"/>
              </w:rPr>
              <w:t>Reasons, checked on, by</w:t>
            </w:r>
          </w:p>
        </w:tc>
      </w:tr>
      <w:tr>
        <w:tc>
          <w:tcPr>
            <w:tcW w:type="dxa" w:w="1474"/>
          </w:tcPr>
          <w:p>
            <w:pPr>
              <w:spacing w:after="40" w:line="252" w:lineRule="auto"/>
            </w:pPr>
            <w:r>
              <w:rPr>
                <w:b w:val="0"/>
                <w:i w:val="0"/>
                <w:sz w:val="17"/>
              </w:rPr>
              <w:t>A Teak furniture imports</w:t>
            </w:r>
          </w:p>
        </w:tc>
        <w:tc>
          <w:tcPr>
            <w:tcW w:type="dxa" w:w="1928"/>
          </w:tcPr>
          <w:p>
            <w:pPr>
              <w:spacing w:after="40" w:line="252" w:lineRule="auto"/>
            </w:pPr>
            <w:r>
              <w:rPr>
                <w:b w:val="0"/>
                <w:i w:val="0"/>
                <w:sz w:val="17"/>
              </w:rPr>
              <w:t>Garden tables, garden benches; manufacturers ID-1 and ID-2</w:t>
            </w:r>
          </w:p>
        </w:tc>
        <w:tc>
          <w:tcPr>
            <w:tcW w:type="dxa" w:w="2041"/>
          </w:tcPr>
          <w:p>
            <w:pPr>
              <w:spacing w:after="40" w:line="252" w:lineRule="auto"/>
            </w:pPr>
            <w:r>
              <w:rPr>
                <w:b w:val="0"/>
                <w:i w:val="0"/>
                <w:sz w:val="17"/>
              </w:rPr>
              <w:t>Indonesia, standard risk (as of 1 Dec 2026)</w:t>
            </w:r>
          </w:p>
        </w:tc>
        <w:tc>
          <w:tcPr>
            <w:tcW w:type="dxa" w:w="2268"/>
          </w:tcPr>
          <w:p>
            <w:pPr>
              <w:spacing w:after="40" w:line="252" w:lineRule="auto"/>
            </w:pPr>
            <w:r>
              <w:rPr>
                <w:b w:val="0"/>
                <w:i w:val="0"/>
                <w:sz w:val="17"/>
              </w:rPr>
              <w:t>Operator; full due diligence Arts. 8 to 12, as a non-SME with Art. 11(2) and Art. 12(3)</w:t>
            </w:r>
          </w:p>
        </w:tc>
        <w:tc>
          <w:tcPr>
            <w:tcW w:type="dxa" w:w="1928"/>
          </w:tcPr>
          <w:p>
            <w:pPr>
              <w:spacing w:after="40" w:line="252" w:lineRule="auto"/>
            </w:pPr>
            <w:r>
              <w:rPr>
                <w:b w:val="0"/>
                <w:i w:val="0"/>
                <w:sz w:val="17"/>
              </w:rPr>
              <w:t>Import in its own name; 3 Nov 2026, EUDR team</w:t>
            </w:r>
          </w:p>
        </w:tc>
      </w:tr>
      <w:tr>
        <w:tc>
          <w:tcPr>
            <w:tcW w:type="dxa" w:w="1474"/>
          </w:tcPr>
          <w:p>
            <w:pPr>
              <w:spacing w:after="40" w:line="252" w:lineRule="auto"/>
            </w:pPr>
            <w:r>
              <w:rPr>
                <w:b w:val="0"/>
                <w:i w:val="0"/>
                <w:sz w:val="17"/>
              </w:rPr>
              <w:t>B Furniture imports from Vietnam</w:t>
            </w:r>
          </w:p>
        </w:tc>
        <w:tc>
          <w:tcPr>
            <w:tcW w:type="dxa" w:w="1928"/>
          </w:tcPr>
          <w:p>
            <w:pPr>
              <w:spacing w:after="40" w:line="252" w:lineRule="auto"/>
            </w:pPr>
            <w:r>
              <w:rPr>
                <w:b w:val="0"/>
                <w:i w:val="0"/>
                <w:sz w:val="17"/>
              </w:rPr>
              <w:t>Chests of drawers, shelving; manufacturers VN-1, VN-2, VN-3</w:t>
            </w:r>
          </w:p>
        </w:tc>
        <w:tc>
          <w:tcPr>
            <w:tcW w:type="dxa" w:w="2041"/>
          </w:tcPr>
          <w:p>
            <w:pPr>
              <w:spacing w:after="40" w:line="252" w:lineRule="auto"/>
            </w:pPr>
            <w:r>
              <w:rPr>
                <w:b w:val="0"/>
                <w:i w:val="0"/>
                <w:sz w:val="17"/>
              </w:rPr>
              <w:t>Vietnam, low risk (as of 1 Dec 2026); VN-3 also processes wood from standard-risk countries</w:t>
            </w:r>
          </w:p>
        </w:tc>
        <w:tc>
          <w:tcPr>
            <w:tcW w:type="dxa" w:w="2268"/>
          </w:tcPr>
          <w:p>
            <w:pPr>
              <w:spacing w:after="40" w:line="252" w:lineRule="auto"/>
            </w:pPr>
            <w:r>
              <w:rPr>
                <w:b w:val="0"/>
                <w:i w:val="0"/>
                <w:sz w:val="17"/>
              </w:rPr>
              <w:t>Operator; VN-1 and VN-2 Art. 13 after a documented assessment (VN-2 full due diligence since 20 Jan 2027); VN-3 full due diligence</w:t>
            </w:r>
          </w:p>
        </w:tc>
        <w:tc>
          <w:tcPr>
            <w:tcW w:type="dxa" w:w="1928"/>
          </w:tcPr>
          <w:p>
            <w:pPr>
              <w:spacing w:after="40" w:line="252" w:lineRule="auto"/>
            </w:pPr>
            <w:r>
              <w:rPr>
                <w:b w:val="0"/>
                <w:i w:val="0"/>
                <w:sz w:val="17"/>
              </w:rPr>
              <w:t>Import in its own name; 3 Nov 2026 and 20 Jan 2027, EUDR team</w:t>
            </w:r>
          </w:p>
        </w:tc>
      </w:tr>
      <w:tr>
        <w:tc>
          <w:tcPr>
            <w:tcW w:type="dxa" w:w="1474"/>
          </w:tcPr>
          <w:p>
            <w:pPr>
              <w:spacing w:after="40" w:line="252" w:lineRule="auto"/>
            </w:pPr>
            <w:r>
              <w:rPr>
                <w:b w:val="0"/>
                <w:i w:val="0"/>
                <w:sz w:val="17"/>
              </w:rPr>
              <w:t>C Purchases within the EU</w:t>
            </w:r>
          </w:p>
        </w:tc>
        <w:tc>
          <w:tcPr>
            <w:tcW w:type="dxa" w:w="1928"/>
          </w:tcPr>
          <w:p>
            <w:pPr>
              <w:spacing w:after="40" w:line="252" w:lineRule="auto"/>
            </w:pPr>
            <w:r>
              <w:rPr>
                <w:b w:val="0"/>
                <w:i w:val="0"/>
                <w:sz w:val="17"/>
              </w:rPr>
              <w:t>Upholstered armchairs, dining tables; manufacturers PL-1 and DE-1</w:t>
            </w:r>
          </w:p>
        </w:tc>
        <w:tc>
          <w:tcPr>
            <w:tcW w:type="dxa" w:w="2041"/>
          </w:tcPr>
          <w:p>
            <w:pPr>
              <w:spacing w:after="40" w:line="252" w:lineRule="auto"/>
            </w:pPr>
            <w:r>
              <w:rPr>
                <w:b w:val="0"/>
                <w:i w:val="0"/>
                <w:sz w:val="17"/>
              </w:rPr>
              <w:t>not applicable for the trader</w:t>
            </w:r>
          </w:p>
        </w:tc>
        <w:tc>
          <w:tcPr>
            <w:tcW w:type="dxa" w:w="2268"/>
          </w:tcPr>
          <w:p>
            <w:pPr>
              <w:spacing w:after="40" w:line="252" w:lineRule="auto"/>
            </w:pPr>
            <w:r>
              <w:rPr>
                <w:b w:val="0"/>
                <w:i w:val="0"/>
                <w:sz w:val="17"/>
              </w:rPr>
              <w:t>Trader (non-SME); Art. 5, Annex A</w:t>
            </w:r>
          </w:p>
        </w:tc>
        <w:tc>
          <w:tcPr>
            <w:tcW w:type="dxa" w:w="1928"/>
          </w:tcPr>
          <w:p>
            <w:pPr>
              <w:spacing w:after="40" w:line="252" w:lineRule="auto"/>
            </w:pPr>
            <w:r>
              <w:rPr>
                <w:b w:val="0"/>
                <w:i w:val="0"/>
                <w:sz w:val="17"/>
              </w:rPr>
              <w:t>The manufacturers placed the goods on the EU market; 3 Nov 2026, EUDR team</w:t>
            </w:r>
          </w:p>
        </w:tc>
      </w:tr>
    </w:tbl>
    <w:p>
      <w:pPr>
        <w:spacing w:after="40"/>
      </w:pPr>
    </w:p>
    <w:p>
      <w:pPr>
        <w:pStyle w:val="Heading2"/>
      </w:pPr>
      <w:r>
        <w:t>Annex D: Responsibility matrix</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494"/>
        <w:gridCol w:w="794"/>
        <w:gridCol w:w="794"/>
        <w:gridCol w:w="794"/>
        <w:gridCol w:w="794"/>
        <w:gridCol w:w="794"/>
        <w:gridCol w:w="794"/>
        <w:gridCol w:w="794"/>
        <w:gridCol w:w="794"/>
        <w:gridCol w:w="794"/>
      </w:tblGrid>
      <w:tr>
        <w:trPr>
          <w:tblHeader w:val="true"/>
        </w:trPr>
        <w:tc>
          <w:tcPr>
            <w:tcW w:type="dxa" w:w="2494"/>
            <w:shd w:val="clear" w:color="auto" w:fill="D9E2EC"/>
          </w:tcPr>
          <w:p>
            <w:pPr>
              <w:spacing w:after="40" w:line="252" w:lineRule="auto"/>
            </w:pPr>
            <w:r>
              <w:rPr>
                <w:b/>
                <w:i w:val="0"/>
                <w:sz w:val="16"/>
              </w:rPr>
              <w:t>Task</w:t>
            </w:r>
          </w:p>
        </w:tc>
        <w:tc>
          <w:tcPr>
            <w:tcW w:type="dxa" w:w="794"/>
            <w:shd w:val="clear" w:color="auto" w:fill="D9E2EC"/>
          </w:tcPr>
          <w:p>
            <w:pPr>
              <w:spacing w:after="40" w:line="252" w:lineRule="auto"/>
            </w:pPr>
            <w:r>
              <w:rPr>
                <w:b/>
                <w:i w:val="0"/>
                <w:sz w:val="16"/>
              </w:rPr>
              <w:t>MGT</w:t>
            </w:r>
          </w:p>
        </w:tc>
        <w:tc>
          <w:tcPr>
            <w:tcW w:type="dxa" w:w="794"/>
            <w:shd w:val="clear" w:color="auto" w:fill="D9E2EC"/>
          </w:tcPr>
          <w:p>
            <w:pPr>
              <w:spacing w:after="40" w:line="252" w:lineRule="auto"/>
            </w:pPr>
            <w:r>
              <w:rPr>
                <w:b/>
                <w:i w:val="0"/>
                <w:sz w:val="16"/>
              </w:rPr>
              <w:t>CO</w:t>
            </w:r>
          </w:p>
        </w:tc>
        <w:tc>
          <w:tcPr>
            <w:tcW w:type="dxa" w:w="794"/>
            <w:shd w:val="clear" w:color="auto" w:fill="D9E2EC"/>
          </w:tcPr>
          <w:p>
            <w:pPr>
              <w:spacing w:after="40" w:line="252" w:lineRule="auto"/>
            </w:pPr>
            <w:r>
              <w:rPr>
                <w:b/>
                <w:i w:val="0"/>
                <w:sz w:val="16"/>
              </w:rPr>
              <w:t>PUR</w:t>
            </w:r>
          </w:p>
        </w:tc>
        <w:tc>
          <w:tcPr>
            <w:tcW w:type="dxa" w:w="794"/>
            <w:shd w:val="clear" w:color="auto" w:fill="D9E2EC"/>
          </w:tcPr>
          <w:p>
            <w:pPr>
              <w:spacing w:after="40" w:line="252" w:lineRule="auto"/>
            </w:pPr>
            <w:r>
              <w:rPr>
                <w:b/>
                <w:i w:val="0"/>
                <w:sz w:val="16"/>
              </w:rPr>
              <w:t>QS</w:t>
            </w:r>
          </w:p>
        </w:tc>
        <w:tc>
          <w:tcPr>
            <w:tcW w:type="dxa" w:w="794"/>
            <w:shd w:val="clear" w:color="auto" w:fill="D9E2EC"/>
          </w:tcPr>
          <w:p>
            <w:pPr>
              <w:spacing w:after="40" w:line="252" w:lineRule="auto"/>
            </w:pPr>
            <w:r>
              <w:rPr>
                <w:b/>
                <w:i w:val="0"/>
                <w:sz w:val="16"/>
              </w:rPr>
              <w:t>CL</w:t>
            </w:r>
          </w:p>
        </w:tc>
        <w:tc>
          <w:tcPr>
            <w:tcW w:type="dxa" w:w="794"/>
            <w:shd w:val="clear" w:color="auto" w:fill="D9E2EC"/>
          </w:tcPr>
          <w:p>
            <w:pPr>
              <w:spacing w:after="40" w:line="252" w:lineRule="auto"/>
            </w:pPr>
            <w:r>
              <w:rPr>
                <w:b/>
                <w:i w:val="0"/>
                <w:sz w:val="16"/>
              </w:rPr>
              <w:t>WH</w:t>
            </w:r>
          </w:p>
        </w:tc>
        <w:tc>
          <w:tcPr>
            <w:tcW w:type="dxa" w:w="794"/>
            <w:shd w:val="clear" w:color="auto" w:fill="D9E2EC"/>
          </w:tcPr>
          <w:p>
            <w:pPr>
              <w:spacing w:after="40" w:line="252" w:lineRule="auto"/>
            </w:pPr>
            <w:r>
              <w:rPr>
                <w:b/>
                <w:i w:val="0"/>
                <w:sz w:val="16"/>
              </w:rPr>
              <w:t>SAL</w:t>
            </w:r>
          </w:p>
        </w:tc>
        <w:tc>
          <w:tcPr>
            <w:tcW w:type="dxa" w:w="794"/>
            <w:shd w:val="clear" w:color="auto" w:fill="D9E2EC"/>
          </w:tcPr>
          <w:p>
            <w:pPr>
              <w:spacing w:after="40" w:line="252" w:lineRule="auto"/>
            </w:pPr>
            <w:r>
              <w:rPr>
                <w:b/>
                <w:i w:val="0"/>
                <w:sz w:val="16"/>
              </w:rPr>
              <w:t>IT</w:t>
            </w:r>
          </w:p>
        </w:tc>
        <w:tc>
          <w:tcPr>
            <w:tcW w:type="dxa" w:w="794"/>
            <w:shd w:val="clear" w:color="auto" w:fill="D9E2EC"/>
          </w:tcPr>
          <w:p>
            <w:pPr>
              <w:spacing w:after="40" w:line="252" w:lineRule="auto"/>
            </w:pPr>
            <w:r>
              <w:rPr>
                <w:b/>
                <w:i w:val="0"/>
                <w:sz w:val="16"/>
              </w:rPr>
              <w:t>AUD</w:t>
            </w:r>
          </w:p>
        </w:tc>
      </w:tr>
      <w:tr>
        <w:tc>
          <w:tcPr>
            <w:tcW w:type="dxa" w:w="2494"/>
          </w:tcPr>
          <w:p>
            <w:pPr>
              <w:spacing w:after="40" w:line="252" w:lineRule="auto"/>
            </w:pPr>
            <w:r>
              <w:rPr>
                <w:b w:val="0"/>
                <w:i w:val="0"/>
                <w:sz w:val="16"/>
              </w:rPr>
              <w:t>Approve the system</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r>
      <w:tr>
        <w:tc>
          <w:tcPr>
            <w:tcW w:type="dxa" w:w="2494"/>
          </w:tcPr>
          <w:p>
            <w:pPr>
              <w:spacing w:after="40" w:line="252" w:lineRule="auto"/>
            </w:pPr>
            <w:r>
              <w:rPr>
                <w:b w:val="0"/>
                <w:i w:val="0"/>
                <w:sz w:val="16"/>
              </w:rPr>
              <w:t>Define roles and products</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Request information from suppliers</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Check geodata and evidence</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Assess risk</w:t>
            </w:r>
          </w:p>
        </w:tc>
        <w:tc>
          <w:tcPr>
            <w:tcW w:type="dxa" w:w="794"/>
          </w:tcPr>
          <w:p>
            <w:pPr>
              <w:spacing w:after="40" w:line="252" w:lineRule="auto"/>
              <w:jc w:val="center"/>
            </w:pP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Decide on mitigation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Release a delivery</w:t>
            </w:r>
          </w:p>
        </w:tc>
        <w:tc>
          <w:tcPr>
            <w:tcW w:type="dxa" w:w="794"/>
          </w:tcPr>
          <w:p>
            <w:pPr>
              <w:spacing w:after="40" w:line="252" w:lineRule="auto"/>
              <w:jc w:val="center"/>
            </w:pP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Submit the statement</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Pass numbers to customs and customers</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Segregate and label goods</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A/R</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Assess and report new information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Keep the file</w:t>
            </w:r>
          </w:p>
        </w:tc>
        <w:tc>
          <w:tcPr>
            <w:tcW w:type="dxa" w:w="794"/>
          </w:tcPr>
          <w:p>
            <w:pPr>
              <w:spacing w:after="40" w:line="252" w:lineRule="auto"/>
              <w:jc w:val="center"/>
            </w:pP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r>
      <w:tr>
        <w:tc>
          <w:tcPr>
            <w:tcW w:type="dxa" w:w="2494"/>
          </w:tcPr>
          <w:p>
            <w:pPr>
              <w:spacing w:after="40" w:line="252" w:lineRule="auto"/>
            </w:pPr>
            <w:r>
              <w:rPr>
                <w:b w:val="0"/>
                <w:i w:val="0"/>
                <w:sz w:val="16"/>
              </w:rPr>
              <w:t>Annual review</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r>
      <w:tr>
        <w:tc>
          <w:tcPr>
            <w:tcW w:type="dxa" w:w="2494"/>
          </w:tcPr>
          <w:p>
            <w:pPr>
              <w:spacing w:after="40" w:line="252" w:lineRule="auto"/>
            </w:pPr>
            <w:r>
              <w:rPr>
                <w:b w:val="0"/>
                <w:i w:val="0"/>
                <w:sz w:val="16"/>
              </w:rPr>
              <w:t>Independent audit (non-SMEs)</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R</w:t>
            </w:r>
          </w:p>
        </w:tc>
      </w:tr>
      <w:tr>
        <w:tc>
          <w:tcPr>
            <w:tcW w:type="dxa" w:w="2494"/>
          </w:tcPr>
          <w:p>
            <w:pPr>
              <w:spacing w:after="40" w:line="252" w:lineRule="auto"/>
            </w:pPr>
            <w:r>
              <w:rPr>
                <w:b w:val="0"/>
                <w:i w:val="0"/>
                <w:sz w:val="16"/>
              </w:rPr>
              <w:t>Publish the report (non-SMEs)</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Training</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A</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R</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r>
              <w:rPr>
                <w:b w:val="0"/>
                <w:i w:val="0"/>
                <w:sz w:val="16"/>
              </w:rPr>
              <w:t>C</w:t>
            </w:r>
          </w:p>
        </w:tc>
        <w:tc>
          <w:tcPr>
            <w:tcW w:type="dxa" w:w="794"/>
          </w:tcPr>
          <w:p>
            <w:pPr>
              <w:spacing w:after="40" w:line="252" w:lineRule="auto"/>
              <w:jc w:val="center"/>
            </w:pPr>
          </w:p>
        </w:tc>
        <w:tc>
          <w:tcPr>
            <w:tcW w:type="dxa" w:w="794"/>
          </w:tcPr>
          <w:p>
            <w:pPr>
              <w:spacing w:after="40" w:line="252" w:lineRule="auto"/>
              <w:jc w:val="center"/>
            </w:pPr>
          </w:p>
        </w:tc>
      </w:tr>
    </w:tbl>
    <w:p>
      <w:pPr>
        <w:spacing w:after="40"/>
      </w:pPr>
    </w:p>
    <w:p>
      <w:r>
        <w:rPr>
          <w:b w:val="0"/>
          <w:i w:val="0"/>
          <w:sz w:val="16"/>
        </w:rPr>
        <w:t>MGT Management; CO Compliance officer (non-SMEs); PUR Purchasing; QS Quality and sustainability; CL Customs and logistics; WH Warehouse; SAL Sales; IT IT; AUD Audit function (non-SMEs).</w:t>
      </w:r>
    </w:p>
    <w:p>
      <w:r>
        <w:rPr>
          <w:b w:val="0"/>
          <w:i/>
          <w:sz w:val="17"/>
        </w:rPr>
        <w:t>In the example: MGT management; CO compliance officer (head of quality and sustainability); QS EUDR team; AUD commissioned audit firm. The annual review is carried out by the quality management officer, who is not involved in EUDR processes.</w:t>
      </w:r>
    </w:p>
    <w:p>
      <w:pPr>
        <w:pStyle w:val="Heading2"/>
      </w:pPr>
      <w:r>
        <w:t>Annex E: Risk mitigation measures catalogue</w:t>
      </w:r>
    </w:p>
    <w:p>
      <w:r>
        <w:rPr>
          <w:b w:val="0"/>
          <w:i w:val="0"/>
          <w:sz w:val="18"/>
        </w:rPr>
        <w:t>Measures per criterion with type under Art. 11(1) (a additional information, b independent surveys or audits, c other measures relating to Art. 9; support for suppliers). A catalogue with 37 entries is in sheet 5 (“Measures catalogue”) of the Excel risk assessment template, a mitigation plan in sheet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624"/>
        <w:gridCol w:w="1701"/>
        <w:gridCol w:w="2381"/>
        <w:gridCol w:w="567"/>
        <w:gridCol w:w="1701"/>
        <w:gridCol w:w="1247"/>
        <w:gridCol w:w="1417"/>
      </w:tblGrid>
      <w:tr>
        <w:trPr>
          <w:tblHeader w:val="true"/>
        </w:trPr>
        <w:tc>
          <w:tcPr>
            <w:tcW w:type="dxa" w:w="624"/>
            <w:shd w:val="clear" w:color="auto" w:fill="D9E2EC"/>
          </w:tcPr>
          <w:p>
            <w:pPr>
              <w:spacing w:after="40" w:line="252" w:lineRule="auto"/>
            </w:pPr>
            <w:r>
              <w:rPr>
                <w:b/>
                <w:i w:val="0"/>
                <w:sz w:val="17"/>
              </w:rPr>
              <w:t>No.</w:t>
            </w:r>
          </w:p>
        </w:tc>
        <w:tc>
          <w:tcPr>
            <w:tcW w:type="dxa" w:w="1701"/>
            <w:shd w:val="clear" w:color="auto" w:fill="D9E2EC"/>
          </w:tcPr>
          <w:p>
            <w:pPr>
              <w:spacing w:after="40" w:line="252" w:lineRule="auto"/>
            </w:pPr>
            <w:r>
              <w:rPr>
                <w:b/>
                <w:i w:val="0"/>
                <w:sz w:val="17"/>
              </w:rPr>
              <w:t>Criterion, trigger</w:t>
            </w:r>
          </w:p>
        </w:tc>
        <w:tc>
          <w:tcPr>
            <w:tcW w:type="dxa" w:w="2381"/>
            <w:shd w:val="clear" w:color="auto" w:fill="D9E2EC"/>
          </w:tcPr>
          <w:p>
            <w:pPr>
              <w:spacing w:after="40" w:line="252" w:lineRule="auto"/>
            </w:pPr>
            <w:r>
              <w:rPr>
                <w:b/>
                <w:i w:val="0"/>
                <w:sz w:val="17"/>
              </w:rPr>
              <w:t>Measure</w:t>
            </w:r>
          </w:p>
        </w:tc>
        <w:tc>
          <w:tcPr>
            <w:tcW w:type="dxa" w:w="567"/>
            <w:shd w:val="clear" w:color="auto" w:fill="D9E2EC"/>
          </w:tcPr>
          <w:p>
            <w:pPr>
              <w:spacing w:after="40" w:line="252" w:lineRule="auto"/>
            </w:pPr>
            <w:r>
              <w:rPr>
                <w:b/>
                <w:i w:val="0"/>
                <w:sz w:val="17"/>
              </w:rPr>
              <w:t>Type</w:t>
            </w:r>
          </w:p>
        </w:tc>
        <w:tc>
          <w:tcPr>
            <w:tcW w:type="dxa" w:w="1701"/>
            <w:shd w:val="clear" w:color="auto" w:fill="D9E2EC"/>
          </w:tcPr>
          <w:p>
            <w:pPr>
              <w:spacing w:after="40" w:line="252" w:lineRule="auto"/>
            </w:pPr>
            <w:r>
              <w:rPr>
                <w:b/>
                <w:i w:val="0"/>
                <w:sz w:val="17"/>
              </w:rPr>
              <w:t>Evidence</w:t>
            </w:r>
          </w:p>
        </w:tc>
        <w:tc>
          <w:tcPr>
            <w:tcW w:type="dxa" w:w="1247"/>
            <w:shd w:val="clear" w:color="auto" w:fill="D9E2EC"/>
          </w:tcPr>
          <w:p>
            <w:pPr>
              <w:spacing w:after="40" w:line="252" w:lineRule="auto"/>
            </w:pPr>
            <w:r>
              <w:rPr>
                <w:b/>
                <w:i w:val="0"/>
                <w:sz w:val="17"/>
              </w:rPr>
              <w:t>responsible</w:t>
            </w:r>
          </w:p>
        </w:tc>
        <w:tc>
          <w:tcPr>
            <w:tcW w:type="dxa" w:w="1417"/>
            <w:shd w:val="clear" w:color="auto" w:fill="D9E2EC"/>
          </w:tcPr>
          <w:p>
            <w:pPr>
              <w:spacing w:after="40" w:line="252" w:lineRule="auto"/>
            </w:pPr>
            <w:r>
              <w:rPr>
                <w:b/>
                <w:i w:val="0"/>
                <w:sz w:val="17"/>
              </w:rPr>
              <w:t>Result afterwards</w:t>
            </w:r>
          </w:p>
        </w:tc>
      </w:tr>
      <w:tr>
        <w:tc>
          <w:tcPr>
            <w:tcW w:type="dxa" w:w="624"/>
          </w:tcPr>
          <w:p>
            <w:pPr>
              <w:spacing w:after="40" w:line="252" w:lineRule="auto"/>
            </w:pPr>
            <w:r>
              <w:rPr>
                <w:b w:val="0"/>
                <w:i w:val="0"/>
                <w:sz w:val="17"/>
              </w:rPr>
              <w:t>M-01</w:t>
            </w:r>
          </w:p>
        </w:tc>
        <w:tc>
          <w:tcPr>
            <w:tcW w:type="dxa" w:w="1701"/>
          </w:tcPr>
          <w:p>
            <w:pPr>
              <w:spacing w:after="40" w:line="252" w:lineRule="auto"/>
            </w:pPr>
            <w:r>
              <w:rPr>
                <w:b w:val="0"/>
                <w:i w:val="0"/>
                <w:sz w:val="17"/>
              </w:rPr>
              <w:t>(j) mixing (ID-2 buys in residual wood from other plantations)</w:t>
            </w:r>
          </w:p>
        </w:tc>
        <w:tc>
          <w:tcPr>
            <w:tcW w:type="dxa" w:w="2381"/>
          </w:tcPr>
          <w:p>
            <w:pPr>
              <w:spacing w:after="40" w:line="252" w:lineRule="auto"/>
            </w:pPr>
            <w:r>
              <w:rPr>
                <w:b w:val="0"/>
                <w:i w:val="0"/>
                <w:sz w:val="17"/>
              </w:rPr>
              <w:t>Separate storage, monthly mass balance, on-site check by the commissioned audit firm</w:t>
            </w:r>
          </w:p>
        </w:tc>
        <w:tc>
          <w:tcPr>
            <w:tcW w:type="dxa" w:w="567"/>
          </w:tcPr>
          <w:p>
            <w:pPr>
              <w:spacing w:after="40" w:line="252" w:lineRule="auto"/>
            </w:pPr>
            <w:r>
              <w:rPr>
                <w:b w:val="0"/>
                <w:i w:val="0"/>
                <w:sz w:val="17"/>
              </w:rPr>
              <w:t>b, c</w:t>
            </w:r>
          </w:p>
        </w:tc>
        <w:tc>
          <w:tcPr>
            <w:tcW w:type="dxa" w:w="1701"/>
          </w:tcPr>
          <w:p>
            <w:pPr>
              <w:spacing w:after="40" w:line="252" w:lineRule="auto"/>
            </w:pPr>
            <w:r>
              <w:rPr>
                <w:b w:val="0"/>
                <w:i w:val="0"/>
                <w:sz w:val="17"/>
              </w:rPr>
              <w:t>Audit report of 24 Nov 2026, mass balances</w:t>
            </w:r>
          </w:p>
        </w:tc>
        <w:tc>
          <w:tcPr>
            <w:tcW w:type="dxa" w:w="1247"/>
          </w:tcPr>
          <w:p>
            <w:pPr>
              <w:spacing w:after="40" w:line="252" w:lineRule="auto"/>
            </w:pPr>
            <w:r>
              <w:rPr>
                <w:b w:val="0"/>
                <w:i w:val="0"/>
                <w:sz w:val="17"/>
              </w:rPr>
              <w:t>EUDR team</w:t>
            </w:r>
          </w:p>
        </w:tc>
        <w:tc>
          <w:tcPr>
            <w:tcW w:type="dxa" w:w="1417"/>
          </w:tcPr>
          <w:p>
            <w:pPr>
              <w:spacing w:after="40" w:line="252" w:lineRule="auto"/>
            </w:pPr>
            <w:r>
              <w:rPr>
                <w:b w:val="0"/>
                <w:i w:val="0"/>
                <w:sz w:val="17"/>
              </w:rPr>
              <w:t>negligible (26 Nov 2026)</w:t>
            </w:r>
          </w:p>
        </w:tc>
      </w:tr>
      <w:tr>
        <w:tc>
          <w:tcPr>
            <w:tcW w:type="dxa" w:w="624"/>
          </w:tcPr>
          <w:p>
            <w:pPr>
              <w:spacing w:after="40" w:line="252" w:lineRule="auto"/>
            </w:pPr>
            <w:r>
              <w:rPr>
                <w:b w:val="0"/>
                <w:i w:val="0"/>
                <w:sz w:val="17"/>
              </w:rPr>
              <w:t>M-02</w:t>
            </w:r>
          </w:p>
        </w:tc>
        <w:tc>
          <w:tcPr>
            <w:tcW w:type="dxa" w:w="1701"/>
          </w:tcPr>
          <w:p>
            <w:pPr>
              <w:spacing w:after="40" w:line="252" w:lineRule="auto"/>
            </w:pPr>
            <w:r>
              <w:rPr>
                <w:b w:val="0"/>
                <w:i w:val="0"/>
                <w:sz w:val="17"/>
              </w:rPr>
              <w:t>(j) mixing (VN-2: wood of unknown origin on the same line)</w:t>
            </w:r>
          </w:p>
        </w:tc>
        <w:tc>
          <w:tcPr>
            <w:tcW w:type="dxa" w:w="2381"/>
          </w:tcPr>
          <w:p>
            <w:pPr>
              <w:spacing w:after="40" w:line="252" w:lineRule="auto"/>
            </w:pPr>
            <w:r>
              <w:rPr>
                <w:b w:val="0"/>
                <w:i w:val="0"/>
                <w:sz w:val="17"/>
              </w:rPr>
              <w:t>Art. 13 withdrawn; separate line, monthly mass balance, factory visit after three months</w:t>
            </w:r>
          </w:p>
        </w:tc>
        <w:tc>
          <w:tcPr>
            <w:tcW w:type="dxa" w:w="567"/>
          </w:tcPr>
          <w:p>
            <w:pPr>
              <w:spacing w:after="40" w:line="252" w:lineRule="auto"/>
            </w:pPr>
            <w:r>
              <w:rPr>
                <w:b w:val="0"/>
                <w:i w:val="0"/>
                <w:sz w:val="17"/>
              </w:rPr>
              <w:t>b, c</w:t>
            </w:r>
          </w:p>
        </w:tc>
        <w:tc>
          <w:tcPr>
            <w:tcW w:type="dxa" w:w="1701"/>
          </w:tcPr>
          <w:p>
            <w:pPr>
              <w:spacing w:after="40" w:line="252" w:lineRule="auto"/>
            </w:pPr>
            <w:r>
              <w:rPr>
                <w:b w:val="0"/>
                <w:i w:val="0"/>
                <w:sz w:val="17"/>
              </w:rPr>
              <w:t>Factory report of 12 Jan 2027, manufacturer's commitment</w:t>
            </w:r>
          </w:p>
        </w:tc>
        <w:tc>
          <w:tcPr>
            <w:tcW w:type="dxa" w:w="1247"/>
          </w:tcPr>
          <w:p>
            <w:pPr>
              <w:spacing w:after="40" w:line="252" w:lineRule="auto"/>
            </w:pPr>
            <w:r>
              <w:rPr>
                <w:b w:val="0"/>
                <w:i w:val="0"/>
                <w:sz w:val="17"/>
              </w:rPr>
              <w:t>EUDR team</w:t>
            </w:r>
          </w:p>
        </w:tc>
        <w:tc>
          <w:tcPr>
            <w:tcW w:type="dxa" w:w="1417"/>
          </w:tcPr>
          <w:p>
            <w:pPr>
              <w:spacing w:after="40" w:line="252" w:lineRule="auto"/>
            </w:pPr>
            <w:r>
              <w:rPr>
                <w:b w:val="0"/>
                <w:i w:val="0"/>
                <w:sz w:val="17"/>
              </w:rPr>
              <w:t>open until the separate line is evidenced; no orders until then</w:t>
            </w:r>
          </w:p>
        </w:tc>
      </w:tr>
      <w:tr>
        <w:tc>
          <w:tcPr>
            <w:tcW w:type="dxa" w:w="624"/>
          </w:tcPr>
          <w:p>
            <w:pPr>
              <w:spacing w:after="40" w:line="252" w:lineRule="auto"/>
            </w:pPr>
            <w:r>
              <w:rPr>
                <w:b w:val="0"/>
                <w:i w:val="0"/>
                <w:sz w:val="17"/>
              </w:rPr>
              <w:t>M-03</w:t>
            </w:r>
          </w:p>
        </w:tc>
        <w:tc>
          <w:tcPr>
            <w:tcW w:type="dxa" w:w="1701"/>
          </w:tcPr>
          <w:p>
            <w:pPr>
              <w:spacing w:after="40" w:line="252" w:lineRule="auto"/>
            </w:pPr>
            <w:r>
              <w:rPr>
                <w:b w:val="0"/>
                <w:i w:val="0"/>
                <w:sz w:val="17"/>
              </w:rPr>
              <w:t>(i) and (j) (VN-3 buys in wood from standard-risk countries)</w:t>
            </w:r>
          </w:p>
        </w:tc>
        <w:tc>
          <w:tcPr>
            <w:tcW w:type="dxa" w:w="2381"/>
          </w:tcPr>
          <w:p>
            <w:pPr>
              <w:spacing w:after="40" w:line="252" w:lineRule="auto"/>
            </w:pPr>
            <w:r>
              <w:rPr>
                <w:b w:val="0"/>
                <w:i w:val="0"/>
                <w:sz w:val="17"/>
              </w:rPr>
              <w:t>Request geolocation and legality evidence for the wood bought in, full assessment</w:t>
            </w:r>
          </w:p>
        </w:tc>
        <w:tc>
          <w:tcPr>
            <w:tcW w:type="dxa" w:w="567"/>
          </w:tcPr>
          <w:p>
            <w:pPr>
              <w:spacing w:after="40" w:line="252" w:lineRule="auto"/>
            </w:pPr>
            <w:r>
              <w:rPr>
                <w:b w:val="0"/>
                <w:i w:val="0"/>
                <w:sz w:val="17"/>
              </w:rPr>
              <w:t>a</w:t>
            </w:r>
          </w:p>
        </w:tc>
        <w:tc>
          <w:tcPr>
            <w:tcW w:type="dxa" w:w="1701"/>
          </w:tcPr>
          <w:p>
            <w:pPr>
              <w:spacing w:after="40" w:line="252" w:lineRule="auto"/>
            </w:pPr>
            <w:r>
              <w:rPr>
                <w:b w:val="0"/>
                <w:i w:val="0"/>
                <w:sz w:val="17"/>
              </w:rPr>
              <w:t>Supplier file VN-3</w:t>
            </w:r>
          </w:p>
        </w:tc>
        <w:tc>
          <w:tcPr>
            <w:tcW w:type="dxa" w:w="1247"/>
          </w:tcPr>
          <w:p>
            <w:pPr>
              <w:spacing w:after="40" w:line="252" w:lineRule="auto"/>
            </w:pPr>
            <w:r>
              <w:rPr>
                <w:b w:val="0"/>
                <w:i w:val="0"/>
                <w:sz w:val="17"/>
              </w:rPr>
              <w:t>Purchasing, EUDR team</w:t>
            </w:r>
          </w:p>
        </w:tc>
        <w:tc>
          <w:tcPr>
            <w:tcW w:type="dxa" w:w="1417"/>
          </w:tcPr>
          <w:p>
            <w:pPr>
              <w:spacing w:after="40" w:line="252" w:lineRule="auto"/>
            </w:pPr>
            <w:r>
              <w:rPr>
                <w:b w:val="0"/>
                <w:i w:val="0"/>
                <w:sz w:val="17"/>
              </w:rPr>
              <w:t>negligible (8 Dec 2026)</w:t>
            </w:r>
          </w:p>
        </w:tc>
      </w:tr>
    </w:tbl>
    <w:p>
      <w:pPr>
        <w:spacing w:after="40"/>
      </w:pPr>
    </w:p>
    <w:p>
      <w:pPr>
        <w:pStyle w:val="Heading2"/>
      </w:pPr>
      <w:r>
        <w:t>Annex F: Record of the annual review</w:t>
      </w:r>
    </w:p>
    <w:p>
      <w:r>
        <w:rPr>
          <w:b w:val="0"/>
          <w:i w:val="0"/>
          <w:sz w:val="18"/>
        </w:rPr>
        <w:t>Date: 10 December 2026 (review before first approval)   Reviewer: quality management officer   Independence: not involved in EUDR processes</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2268"/>
        <w:gridCol w:w="1701"/>
        <w:gridCol w:w="1020"/>
        <w:gridCol w:w="1020"/>
      </w:tblGrid>
      <w:tr>
        <w:trPr>
          <w:tblHeader w:val="true"/>
        </w:trPr>
        <w:tc>
          <w:tcPr>
            <w:tcW w:type="dxa" w:w="3628"/>
            <w:shd w:val="clear" w:color="auto" w:fill="D9E2EC"/>
          </w:tcPr>
          <w:p>
            <w:pPr>
              <w:spacing w:after="40" w:line="252" w:lineRule="auto"/>
            </w:pPr>
            <w:r>
              <w:rPr>
                <w:b/>
                <w:i w:val="0"/>
                <w:sz w:val="17"/>
              </w:rPr>
              <w:t>Review point</w:t>
            </w:r>
          </w:p>
        </w:tc>
        <w:tc>
          <w:tcPr>
            <w:tcW w:type="dxa" w:w="2268"/>
            <w:shd w:val="clear" w:color="auto" w:fill="D9E2EC"/>
          </w:tcPr>
          <w:p>
            <w:pPr>
              <w:spacing w:after="40" w:line="252" w:lineRule="auto"/>
            </w:pPr>
            <w:r>
              <w:rPr>
                <w:b/>
                <w:i w:val="0"/>
                <w:sz w:val="17"/>
              </w:rPr>
              <w:t>Result</w:t>
            </w:r>
          </w:p>
        </w:tc>
        <w:tc>
          <w:tcPr>
            <w:tcW w:type="dxa" w:w="1701"/>
            <w:shd w:val="clear" w:color="auto" w:fill="D9E2EC"/>
          </w:tcPr>
          <w:p>
            <w:pPr>
              <w:spacing w:after="40" w:line="252" w:lineRule="auto"/>
            </w:pPr>
            <w:r>
              <w:rPr>
                <w:b/>
                <w:i w:val="0"/>
                <w:sz w:val="17"/>
              </w:rPr>
              <w:t>Weakness</w:t>
            </w:r>
          </w:p>
        </w:tc>
        <w:tc>
          <w:tcPr>
            <w:tcW w:type="dxa" w:w="1020"/>
            <w:shd w:val="clear" w:color="auto" w:fill="D9E2EC"/>
          </w:tcPr>
          <w:p>
            <w:pPr>
              <w:spacing w:after="40" w:line="252" w:lineRule="auto"/>
            </w:pPr>
            <w:r>
              <w:rPr>
                <w:b/>
                <w:i w:val="0"/>
                <w:sz w:val="17"/>
              </w:rPr>
              <w:t>Deadline</w:t>
            </w:r>
          </w:p>
        </w:tc>
        <w:tc>
          <w:tcPr>
            <w:tcW w:type="dxa" w:w="1020"/>
            <w:shd w:val="clear" w:color="auto" w:fill="D9E2EC"/>
          </w:tcPr>
          <w:p>
            <w:pPr>
              <w:spacing w:after="40" w:line="252" w:lineRule="auto"/>
            </w:pPr>
            <w:r>
              <w:rPr>
                <w:b/>
                <w:i w:val="0"/>
                <w:sz w:val="17"/>
              </w:rPr>
              <w:t>done</w:t>
            </w:r>
          </w:p>
        </w:tc>
      </w:tr>
      <w:tr>
        <w:tc>
          <w:tcPr>
            <w:tcW w:type="dxa" w:w="3628"/>
          </w:tcPr>
          <w:p>
            <w:pPr>
              <w:spacing w:after="40" w:line="252" w:lineRule="auto"/>
            </w:pPr>
            <w:r>
              <w:rPr>
                <w:b w:val="0"/>
                <w:i w:val="0"/>
                <w:sz w:val="17"/>
              </w:rPr>
              <w:t>Documented procedures for collecting and recording the information under Art. 9 (guidelines section 8)</w:t>
            </w:r>
          </w:p>
        </w:tc>
        <w:tc>
          <w:tcPr>
            <w:tcW w:type="dxa" w:w="2268"/>
          </w:tcPr>
          <w:p>
            <w:pPr>
              <w:spacing w:after="40" w:line="252" w:lineRule="auto"/>
            </w:pPr>
            <w:r>
              <w:rPr>
                <w:b w:val="0"/>
                <w:i w:val="0"/>
                <w:sz w:val="17"/>
              </w:rPr>
              <w:t>met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Risk assessment documented per product and component (guidelines section 8)</w:t>
            </w:r>
          </w:p>
        </w:tc>
        <w:tc>
          <w:tcPr>
            <w:tcW w:type="dxa" w:w="2268"/>
          </w:tcPr>
          <w:p>
            <w:pPr>
              <w:spacing w:after="40" w:line="252" w:lineRule="auto"/>
            </w:pPr>
            <w:r>
              <w:rPr>
                <w:b w:val="0"/>
                <w:i w:val="0"/>
                <w:sz w:val="17"/>
              </w:rPr>
              <w:t>met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Measures defined per risk level (guidelines section 8)</w:t>
            </w:r>
          </w:p>
        </w:tc>
        <w:tc>
          <w:tcPr>
            <w:tcW w:type="dxa" w:w="2268"/>
          </w:tcPr>
          <w:p>
            <w:pPr>
              <w:spacing w:after="40" w:line="252" w:lineRule="auto"/>
            </w:pPr>
            <w:r>
              <w:rPr>
                <w:b w:val="0"/>
                <w:i w:val="0"/>
                <w:sz w:val="17"/>
              </w:rPr>
              <w:t>met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People responsible understand their steps and carry them out (guidelines section 8)</w:t>
            </w:r>
          </w:p>
        </w:tc>
        <w:tc>
          <w:tcPr>
            <w:tcW w:type="dxa" w:w="2268"/>
          </w:tcPr>
          <w:p>
            <w:pPr>
              <w:spacing w:after="40" w:line="252" w:lineRule="auto"/>
            </w:pPr>
            <w:r>
              <w:rPr>
                <w:b w:val="0"/>
                <w:i w:val="0"/>
                <w:sz w:val="17"/>
              </w:rPr>
              <w:t>partly: the warehouse knows the status “EUDR cleared”, training record for the warehouse incomplete</w:t>
            </w:r>
          </w:p>
        </w:tc>
        <w:tc>
          <w:tcPr>
            <w:tcW w:type="dxa" w:w="1701"/>
          </w:tcPr>
          <w:p>
            <w:pPr>
              <w:spacing w:after="40" w:line="252" w:lineRule="auto"/>
            </w:pPr>
            <w:r>
              <w:rPr>
                <w:b w:val="0"/>
                <w:i w:val="0"/>
                <w:sz w:val="17"/>
              </w:rPr>
              <w:t>Training record for the warehouse incomplete</w:t>
            </w:r>
          </w:p>
        </w:tc>
        <w:tc>
          <w:tcPr>
            <w:tcW w:type="dxa" w:w="1020"/>
          </w:tcPr>
          <w:p>
            <w:pPr>
              <w:spacing w:after="40" w:line="252" w:lineRule="auto"/>
            </w:pPr>
            <w:r>
              <w:rPr>
                <w:b w:val="0"/>
                <w:i w:val="0"/>
                <w:sz w:val="17"/>
              </w:rPr>
              <w:t>18 Dec 2026</w:t>
            </w:r>
          </w:p>
        </w:tc>
        <w:tc>
          <w:tcPr>
            <w:tcW w:type="dxa" w:w="1020"/>
          </w:tcPr>
          <w:p>
            <w:pPr>
              <w:spacing w:after="40" w:line="252" w:lineRule="auto"/>
            </w:pPr>
            <w:r>
              <w:rPr>
                <w:b w:val="0"/>
                <w:i w:val="0"/>
                <w:sz w:val="17"/>
              </w:rPr>
              <w:t>17 Dec 2026</w:t>
            </w:r>
          </w:p>
        </w:tc>
      </w:tr>
      <w:tr>
        <w:tc>
          <w:tcPr>
            <w:tcW w:type="dxa" w:w="3628"/>
          </w:tcPr>
          <w:p>
            <w:pPr>
              <w:spacing w:after="40" w:line="252" w:lineRule="auto"/>
            </w:pPr>
            <w:r>
              <w:rPr>
                <w:b w:val="0"/>
                <w:i w:val="0"/>
                <w:sz w:val="17"/>
              </w:rPr>
              <w:t>Controls ensure that products with a non-negligible risk are excluded (guidelines section 8)</w:t>
            </w:r>
          </w:p>
        </w:tc>
        <w:tc>
          <w:tcPr>
            <w:tcW w:type="dxa" w:w="2268"/>
          </w:tcPr>
          <w:p>
            <w:pPr>
              <w:spacing w:after="40" w:line="252" w:lineRule="auto"/>
            </w:pPr>
            <w:r>
              <w:rPr>
                <w:b w:val="0"/>
                <w:i w:val="0"/>
                <w:sz w:val="17"/>
              </w:rPr>
              <w:t>met (block in the merchandise management system tested)</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Change log complete, triggers since the last review dealt with (Art. 12(2))</w:t>
            </w:r>
          </w:p>
        </w:tc>
        <w:tc>
          <w:tcPr>
            <w:tcW w:type="dxa" w:w="2268"/>
          </w:tcPr>
          <w:p>
            <w:pPr>
              <w:spacing w:after="40" w:line="252" w:lineRule="auto"/>
            </w:pPr>
            <w:r>
              <w:rPr>
                <w:b w:val="0"/>
                <w:i w:val="0"/>
                <w:sz w:val="17"/>
              </w:rPr>
              <w:t>met (first version)</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Sample checks and findings of the audit function evaluated (block 10)</w:t>
            </w:r>
          </w:p>
        </w:tc>
        <w:tc>
          <w:tcPr>
            <w:tcW w:type="dxa" w:w="2268"/>
          </w:tcPr>
          <w:p>
            <w:pPr>
              <w:spacing w:after="40" w:line="252" w:lineRule="auto"/>
            </w:pPr>
            <w:r>
              <w:rPr>
                <w:b w:val="0"/>
                <w:i w:val="0"/>
                <w:sz w:val="17"/>
              </w:rPr>
              <w:t>n/a (no sample check yet)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Training carried out and recorded (Annex H)</w:t>
            </w:r>
          </w:p>
        </w:tc>
        <w:tc>
          <w:tcPr>
            <w:tcW w:type="dxa" w:w="2268"/>
          </w:tcPr>
          <w:p>
            <w:pPr>
              <w:spacing w:after="40" w:line="252" w:lineRule="auto"/>
            </w:pPr>
            <w:r>
              <w:rPr>
                <w:b w:val="0"/>
                <w:i w:val="0"/>
                <w:sz w:val="17"/>
              </w:rPr>
              <w:t>partly (see point 4)</w:t>
            </w:r>
          </w:p>
        </w:tc>
        <w:tc>
          <w:tcPr>
            <w:tcW w:type="dxa" w:w="1701"/>
          </w:tcPr>
          <w:p>
            <w:pPr>
              <w:spacing w:after="40" w:line="252" w:lineRule="auto"/>
            </w:pPr>
            <w:r>
              <w:rPr>
                <w:b w:val="0"/>
                <w:i w:val="0"/>
                <w:sz w:val="17"/>
              </w:rPr>
              <w:t>as point 4</w:t>
            </w:r>
          </w:p>
        </w:tc>
        <w:tc>
          <w:tcPr>
            <w:tcW w:type="dxa" w:w="1020"/>
          </w:tcPr>
          <w:p>
            <w:pPr>
              <w:spacing w:after="40" w:line="252" w:lineRule="auto"/>
            </w:pPr>
            <w:r>
              <w:rPr>
                <w:b w:val="0"/>
                <w:i w:val="0"/>
                <w:sz w:val="17"/>
              </w:rPr>
              <w:t>18 Dec 2026</w:t>
            </w:r>
          </w:p>
        </w:tc>
        <w:tc>
          <w:tcPr>
            <w:tcW w:type="dxa" w:w="1020"/>
          </w:tcPr>
          <w:p>
            <w:pPr>
              <w:spacing w:after="40" w:line="252" w:lineRule="auto"/>
            </w:pPr>
            <w:r>
              <w:rPr>
                <w:b w:val="0"/>
                <w:i w:val="0"/>
                <w:sz w:val="17"/>
              </w:rPr>
              <w:t>17 Dec 2026</w:t>
            </w:r>
          </w:p>
        </w:tc>
      </w:tr>
      <w:tr>
        <w:tc>
          <w:tcPr>
            <w:tcW w:type="dxa" w:w="3628"/>
          </w:tcPr>
          <w:p>
            <w:pPr>
              <w:spacing w:after="40" w:line="252" w:lineRule="auto"/>
            </w:pPr>
            <w:r>
              <w:rPr>
                <w:b w:val="0"/>
                <w:i w:val="0"/>
                <w:sz w:val="17"/>
              </w:rPr>
              <w:t>Steps and outcome of this review documented (guidelines section 8)</w:t>
            </w:r>
          </w:p>
        </w:tc>
        <w:tc>
          <w:tcPr>
            <w:tcW w:type="dxa" w:w="2268"/>
          </w:tcPr>
          <w:p>
            <w:pPr>
              <w:spacing w:after="40" w:line="252" w:lineRule="auto"/>
            </w:pPr>
            <w:r>
              <w:rPr>
                <w:b w:val="0"/>
                <w:i w:val="0"/>
                <w:sz w:val="17"/>
              </w:rPr>
              <w:t>met</w:t>
            </w: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bl>
    <w:p>
      <w:pPr>
        <w:spacing w:after="40"/>
      </w:pPr>
    </w:p>
    <w:p>
      <w:pPr>
        <w:pStyle w:val="Heading2"/>
      </w:pPr>
      <w:r>
        <w:t>Annex G: Outline of the public report (non-SMEs only)</w:t>
      </w:r>
    </w:p>
    <w:p>
      <w:r>
        <w:rPr>
          <w:b w:val="0"/>
          <w:i w:val="0"/>
          <w:sz w:val="18"/>
        </w:rPr>
        <w:t>First report for the year 2027, published after 30 December 2027 (Commission FAQ 5.14). Data protection takes precedence; supplier names are not required content.</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67"/>
        <w:gridCol w:w="4535"/>
        <w:gridCol w:w="4535"/>
      </w:tblGrid>
      <w:tr>
        <w:trPr>
          <w:tblHeader w:val="true"/>
        </w:trPr>
        <w:tc>
          <w:tcPr>
            <w:tcW w:type="dxa" w:w="567"/>
            <w:shd w:val="clear" w:color="auto" w:fill="D9E2EC"/>
          </w:tcPr>
          <w:p>
            <w:pPr>
              <w:spacing w:after="40" w:line="252" w:lineRule="auto"/>
            </w:pPr>
            <w:r>
              <w:rPr>
                <w:b/>
                <w:i w:val="0"/>
                <w:sz w:val="17"/>
              </w:rPr>
              <w:t>No.</w:t>
            </w:r>
          </w:p>
        </w:tc>
        <w:tc>
          <w:tcPr>
            <w:tcW w:type="dxa" w:w="4535"/>
            <w:shd w:val="clear" w:color="auto" w:fill="D9E2EC"/>
          </w:tcPr>
          <w:p>
            <w:pPr>
              <w:spacing w:after="40" w:line="252" w:lineRule="auto"/>
            </w:pPr>
            <w:r>
              <w:rPr>
                <w:b/>
                <w:i w:val="0"/>
                <w:sz w:val="17"/>
              </w:rPr>
              <w:t>Section of the report</w:t>
            </w:r>
          </w:p>
        </w:tc>
        <w:tc>
          <w:tcPr>
            <w:tcW w:type="dxa" w:w="4535"/>
            <w:shd w:val="clear" w:color="auto" w:fill="D9E2EC"/>
          </w:tcPr>
          <w:p>
            <w:pPr>
              <w:spacing w:after="40" w:line="252" w:lineRule="auto"/>
            </w:pPr>
            <w:r>
              <w:rPr>
                <w:b/>
                <w:i w:val="0"/>
                <w:sz w:val="17"/>
              </w:rPr>
              <w:t>Content in the reporting year</w:t>
            </w:r>
          </w:p>
        </w:tc>
      </w:tr>
      <w:tr>
        <w:tc>
          <w:tcPr>
            <w:tcW w:type="dxa" w:w="567"/>
          </w:tcPr>
          <w:p>
            <w:pPr>
              <w:spacing w:after="40" w:line="252" w:lineRule="auto"/>
            </w:pPr>
            <w:r>
              <w:rPr>
                <w:b w:val="0"/>
                <w:i w:val="0"/>
                <w:sz w:val="17"/>
              </w:rPr>
              <w:t>1</w:t>
            </w:r>
          </w:p>
        </w:tc>
        <w:tc>
          <w:tcPr>
            <w:tcW w:type="dxa" w:w="4535"/>
          </w:tcPr>
          <w:p>
            <w:pPr>
              <w:spacing w:after="40" w:line="252" w:lineRule="auto"/>
            </w:pPr>
            <w:r>
              <w:rPr>
                <w:b w:val="0"/>
                <w:i w:val="0"/>
                <w:sz w:val="17"/>
              </w:rPr>
              <w:t>Company and reporting year</w:t>
            </w:r>
          </w:p>
        </w:tc>
        <w:tc>
          <w:tcPr>
            <w:tcW w:type="dxa" w:w="4535"/>
          </w:tcPr>
          <w:p>
            <w:pPr>
              <w:spacing w:after="40" w:line="252" w:lineRule="auto"/>
            </w:pPr>
            <w:r>
              <w:rPr>
                <w:b w:val="0"/>
                <w:i w:val="0"/>
                <w:sz w:val="17"/>
              </w:rPr>
              <w:t>Muster Holz &amp; Möbel GmbH, reporting year 2027</w:t>
            </w:r>
          </w:p>
        </w:tc>
      </w:tr>
      <w:tr>
        <w:tc>
          <w:tcPr>
            <w:tcW w:type="dxa" w:w="567"/>
          </w:tcPr>
          <w:p>
            <w:pPr>
              <w:spacing w:after="40" w:line="252" w:lineRule="auto"/>
            </w:pPr>
            <w:r>
              <w:rPr>
                <w:b w:val="0"/>
                <w:i w:val="0"/>
                <w:sz w:val="17"/>
              </w:rPr>
              <w:t>2</w:t>
            </w:r>
          </w:p>
        </w:tc>
        <w:tc>
          <w:tcPr>
            <w:tcW w:type="dxa" w:w="4535"/>
          </w:tcPr>
          <w:p>
            <w:pPr>
              <w:spacing w:after="40" w:line="252" w:lineRule="auto"/>
            </w:pPr>
            <w:r>
              <w:rPr>
                <w:b w:val="0"/>
                <w:i w:val="0"/>
                <w:sz w:val="17"/>
              </w:rPr>
              <w:t>Due diligence system and changes during the reporting year (Art. 12(3))</w:t>
            </w:r>
          </w:p>
        </w:tc>
        <w:tc>
          <w:tcPr>
            <w:tcW w:type="dxa" w:w="4535"/>
          </w:tcPr>
          <w:p>
            <w:pPr>
              <w:spacing w:after="40" w:line="252" w:lineRule="auto"/>
            </w:pPr>
            <w:r>
              <w:rPr>
                <w:b w:val="0"/>
                <w:i w:val="0"/>
                <w:sz w:val="17"/>
              </w:rPr>
              <w:t>System in version 1.1 and later, summary of changes</w:t>
            </w:r>
          </w:p>
        </w:tc>
      </w:tr>
      <w:tr>
        <w:tc>
          <w:tcPr>
            <w:tcW w:type="dxa" w:w="567"/>
          </w:tcPr>
          <w:p>
            <w:pPr>
              <w:spacing w:after="40" w:line="252" w:lineRule="auto"/>
            </w:pPr>
            <w:r>
              <w:rPr>
                <w:b w:val="0"/>
                <w:i w:val="0"/>
                <w:sz w:val="17"/>
              </w:rPr>
              <w:t>3</w:t>
            </w:r>
          </w:p>
        </w:tc>
        <w:tc>
          <w:tcPr>
            <w:tcW w:type="dxa" w:w="4535"/>
          </w:tcPr>
          <w:p>
            <w:pPr>
              <w:spacing w:after="40" w:line="252" w:lineRule="auto"/>
            </w:pPr>
            <w:r>
              <w:rPr>
                <w:b w:val="0"/>
                <w:i w:val="0"/>
                <w:sz w:val="17"/>
              </w:rPr>
              <w:t>Products, quantities and countries of production, summarised (Art. 12(4)(a) with Art. 9(1)(a) to (c))</w:t>
            </w:r>
          </w:p>
        </w:tc>
        <w:tc>
          <w:tcPr>
            <w:tcW w:type="dxa" w:w="4535"/>
          </w:tcPr>
          <w:p>
            <w:pPr>
              <w:spacing w:after="40" w:line="252" w:lineRule="auto"/>
            </w:pPr>
            <w:r>
              <w:rPr>
                <w:b w:val="0"/>
                <w:i w:val="0"/>
                <w:sz w:val="17"/>
              </w:rPr>
              <w:t>Teak garden furniture (Indonesia), chests of drawers and shelving (Vietnam), quantities per product group</w:t>
            </w:r>
          </w:p>
        </w:tc>
      </w:tr>
      <w:tr>
        <w:tc>
          <w:tcPr>
            <w:tcW w:type="dxa" w:w="567"/>
          </w:tcPr>
          <w:p>
            <w:pPr>
              <w:spacing w:after="40" w:line="252" w:lineRule="auto"/>
            </w:pPr>
            <w:r>
              <w:rPr>
                <w:b w:val="0"/>
                <w:i w:val="0"/>
                <w:sz w:val="17"/>
              </w:rPr>
              <w:t>4</w:t>
            </w:r>
          </w:p>
        </w:tc>
        <w:tc>
          <w:tcPr>
            <w:tcW w:type="dxa" w:w="4535"/>
          </w:tcPr>
          <w:p>
            <w:pPr>
              <w:spacing w:after="40" w:line="252" w:lineRule="auto"/>
            </w:pPr>
            <w:r>
              <w:rPr>
                <w:b w:val="0"/>
                <w:i w:val="0"/>
                <w:sz w:val="17"/>
              </w:rPr>
              <w:t>Conclusions of the risk assessment and measures taken under Art. 11 (Art. 12(4)(b))</w:t>
            </w:r>
          </w:p>
        </w:tc>
        <w:tc>
          <w:tcPr>
            <w:tcW w:type="dxa" w:w="4535"/>
          </w:tcPr>
          <w:p>
            <w:pPr>
              <w:spacing w:after="40" w:line="252" w:lineRule="auto"/>
            </w:pPr>
            <w:r>
              <w:rPr>
                <w:b w:val="0"/>
                <w:i w:val="0"/>
                <w:sz w:val="17"/>
              </w:rPr>
              <w:t>Results per sourcing route; measures M-01 to M-03 in brief</w:t>
            </w:r>
          </w:p>
        </w:tc>
      </w:tr>
      <w:tr>
        <w:tc>
          <w:tcPr>
            <w:tcW w:type="dxa" w:w="567"/>
          </w:tcPr>
          <w:p>
            <w:pPr>
              <w:spacing w:after="40" w:line="252" w:lineRule="auto"/>
            </w:pPr>
            <w:r>
              <w:rPr>
                <w:b w:val="0"/>
                <w:i w:val="0"/>
                <w:sz w:val="17"/>
              </w:rPr>
              <w:t>5</w:t>
            </w:r>
          </w:p>
        </w:tc>
        <w:tc>
          <w:tcPr>
            <w:tcW w:type="dxa" w:w="4535"/>
          </w:tcPr>
          <w:p>
            <w:pPr>
              <w:spacing w:after="40" w:line="252" w:lineRule="auto"/>
            </w:pPr>
            <w:r>
              <w:rPr>
                <w:b w:val="0"/>
                <w:i w:val="0"/>
                <w:sz w:val="17"/>
              </w:rPr>
              <w:t>Information and evidence obtained and used for the risk assessment (Art. 12(4)(b))</w:t>
            </w:r>
          </w:p>
        </w:tc>
        <w:tc>
          <w:tcPr>
            <w:tcW w:type="dxa" w:w="4535"/>
          </w:tcPr>
          <w:p>
            <w:pPr>
              <w:spacing w:after="40" w:line="252" w:lineRule="auto"/>
            </w:pPr>
            <w:r>
              <w:rPr>
                <w:b w:val="0"/>
                <w:i w:val="0"/>
                <w:sz w:val="17"/>
              </w:rPr>
              <w:t>Geolocation, FLEGT licences, factory visits, satellite analysis</w:t>
            </w:r>
          </w:p>
        </w:tc>
      </w:tr>
      <w:tr>
        <w:tc>
          <w:tcPr>
            <w:tcW w:type="dxa" w:w="567"/>
          </w:tcPr>
          <w:p>
            <w:pPr>
              <w:spacing w:after="40" w:line="252" w:lineRule="auto"/>
            </w:pPr>
            <w:r>
              <w:rPr>
                <w:b w:val="0"/>
                <w:i w:val="0"/>
                <w:sz w:val="17"/>
              </w:rPr>
              <w:t>6</w:t>
            </w:r>
          </w:p>
        </w:tc>
        <w:tc>
          <w:tcPr>
            <w:tcW w:type="dxa" w:w="4535"/>
          </w:tcPr>
          <w:p>
            <w:pPr>
              <w:spacing w:after="40" w:line="252" w:lineRule="auto"/>
            </w:pPr>
            <w:r>
              <w:rPr>
                <w:b w:val="0"/>
                <w:i w:val="0"/>
                <w:sz w:val="17"/>
              </w:rPr>
              <w:t>Consultation of indigenous peoples, local communities, other customary tenure rights holders or civil society, where applicable (Art. 12(4)(c))</w:t>
            </w:r>
          </w:p>
        </w:tc>
        <w:tc>
          <w:tcPr>
            <w:tcW w:type="dxa" w:w="4535"/>
          </w:tcPr>
          <w:p>
            <w:pPr>
              <w:spacing w:after="40" w:line="252" w:lineRule="auto"/>
            </w:pPr>
            <w:r>
              <w:rPr>
                <w:b w:val="0"/>
                <w:i w:val="0"/>
                <w:sz w:val="17"/>
              </w:rPr>
              <w:t>No consultations of its own; statement whether suppliers carried out any</w:t>
            </w:r>
          </w:p>
        </w:tc>
      </w:tr>
      <w:tr>
        <w:tc>
          <w:tcPr>
            <w:tcW w:type="dxa" w:w="567"/>
          </w:tcPr>
          <w:p>
            <w:pPr>
              <w:spacing w:after="40" w:line="252" w:lineRule="auto"/>
            </w:pPr>
            <w:r>
              <w:rPr>
                <w:b w:val="0"/>
                <w:i w:val="0"/>
                <w:sz w:val="17"/>
              </w:rPr>
              <w:t>7</w:t>
            </w:r>
          </w:p>
        </w:tc>
        <w:tc>
          <w:tcPr>
            <w:tcW w:type="dxa" w:w="4535"/>
          </w:tcPr>
          <w:p>
            <w:pPr>
              <w:spacing w:after="40" w:line="252" w:lineRule="auto"/>
            </w:pPr>
            <w:r>
              <w:rPr>
                <w:b w:val="0"/>
                <w:i w:val="0"/>
                <w:sz w:val="17"/>
              </w:rPr>
              <w:t>Contact for questions</w:t>
            </w:r>
          </w:p>
        </w:tc>
        <w:tc>
          <w:tcPr>
            <w:tcW w:type="dxa" w:w="4535"/>
          </w:tcPr>
          <w:p>
            <w:pPr>
              <w:spacing w:after="40" w:line="252" w:lineRule="auto"/>
            </w:pPr>
            <w:r>
              <w:rPr>
                <w:b w:val="0"/>
                <w:i w:val="0"/>
                <w:sz w:val="17"/>
              </w:rPr>
              <w:t>Compliance officer via the central mailbox</w:t>
            </w:r>
          </w:p>
        </w:tc>
      </w:tr>
    </w:tbl>
    <w:p>
      <w:pPr>
        <w:spacing w:after="40"/>
      </w:pPr>
    </w:p>
    <w:p>
      <w:pPr>
        <w:pStyle w:val="Heading2"/>
      </w:pPr>
      <w:r>
        <w:t>Annex H: Training record</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247"/>
        <w:gridCol w:w="1587"/>
        <w:gridCol w:w="2608"/>
        <w:gridCol w:w="907"/>
        <w:gridCol w:w="1814"/>
        <w:gridCol w:w="1474"/>
      </w:tblGrid>
      <w:tr>
        <w:trPr>
          <w:tblHeader w:val="true"/>
        </w:trPr>
        <w:tc>
          <w:tcPr>
            <w:tcW w:type="dxa" w:w="1247"/>
            <w:shd w:val="clear" w:color="auto" w:fill="D9E2EC"/>
          </w:tcPr>
          <w:p>
            <w:pPr>
              <w:spacing w:after="40" w:line="252" w:lineRule="auto"/>
            </w:pPr>
            <w:r>
              <w:rPr>
                <w:b/>
                <w:i w:val="0"/>
                <w:sz w:val="17"/>
              </w:rPr>
              <w:t>Date</w:t>
            </w:r>
          </w:p>
        </w:tc>
        <w:tc>
          <w:tcPr>
            <w:tcW w:type="dxa" w:w="1587"/>
            <w:shd w:val="clear" w:color="auto" w:fill="D9E2EC"/>
          </w:tcPr>
          <w:p>
            <w:pPr>
              <w:spacing w:after="40" w:line="252" w:lineRule="auto"/>
            </w:pPr>
            <w:r>
              <w:rPr>
                <w:b/>
                <w:i w:val="0"/>
                <w:sz w:val="17"/>
              </w:rPr>
              <w:t>Target group</w:t>
            </w:r>
          </w:p>
        </w:tc>
        <w:tc>
          <w:tcPr>
            <w:tcW w:type="dxa" w:w="2608"/>
            <w:shd w:val="clear" w:color="auto" w:fill="D9E2EC"/>
          </w:tcPr>
          <w:p>
            <w:pPr>
              <w:spacing w:after="40" w:line="252" w:lineRule="auto"/>
            </w:pPr>
            <w:r>
              <w:rPr>
                <w:b/>
                <w:i w:val="0"/>
                <w:sz w:val="17"/>
              </w:rPr>
              <w:t>Content</w:t>
            </w:r>
          </w:p>
        </w:tc>
        <w:tc>
          <w:tcPr>
            <w:tcW w:type="dxa" w:w="907"/>
            <w:shd w:val="clear" w:color="auto" w:fill="D9E2EC"/>
          </w:tcPr>
          <w:p>
            <w:pPr>
              <w:spacing w:after="40" w:line="252" w:lineRule="auto"/>
            </w:pPr>
            <w:r>
              <w:rPr>
                <w:b/>
                <w:i w:val="0"/>
                <w:sz w:val="17"/>
              </w:rPr>
              <w:t>Duration</w:t>
            </w:r>
          </w:p>
        </w:tc>
        <w:tc>
          <w:tcPr>
            <w:tcW w:type="dxa" w:w="1814"/>
            <w:shd w:val="clear" w:color="auto" w:fill="D9E2EC"/>
          </w:tcPr>
          <w:p>
            <w:pPr>
              <w:spacing w:after="40" w:line="252" w:lineRule="auto"/>
            </w:pPr>
            <w:r>
              <w:rPr>
                <w:b/>
                <w:i w:val="0"/>
                <w:sz w:val="17"/>
              </w:rPr>
              <w:t>Participants</w:t>
            </w:r>
          </w:p>
        </w:tc>
        <w:tc>
          <w:tcPr>
            <w:tcW w:type="dxa" w:w="1474"/>
            <w:shd w:val="clear" w:color="auto" w:fill="D9E2EC"/>
          </w:tcPr>
          <w:p>
            <w:pPr>
              <w:spacing w:after="40" w:line="252" w:lineRule="auto"/>
            </w:pPr>
            <w:r>
              <w:rPr>
                <w:b/>
                <w:i w:val="0"/>
                <w:sz w:val="17"/>
              </w:rPr>
              <w:t>Delivered by</w:t>
            </w:r>
          </w:p>
        </w:tc>
      </w:tr>
      <w:tr>
        <w:tc>
          <w:tcPr>
            <w:tcW w:type="dxa" w:w="1247"/>
          </w:tcPr>
          <w:p>
            <w:pPr>
              <w:spacing w:after="40" w:line="252" w:lineRule="auto"/>
            </w:pPr>
            <w:r>
              <w:rPr>
                <w:b w:val="0"/>
                <w:i w:val="0"/>
                <w:sz w:val="17"/>
              </w:rPr>
              <w:t>17 Nov 2026</w:t>
            </w:r>
          </w:p>
        </w:tc>
        <w:tc>
          <w:tcPr>
            <w:tcW w:type="dxa" w:w="1587"/>
          </w:tcPr>
          <w:p>
            <w:pPr>
              <w:spacing w:after="40" w:line="252" w:lineRule="auto"/>
            </w:pPr>
            <w:r>
              <w:rPr>
                <w:b w:val="0"/>
                <w:i w:val="0"/>
                <w:sz w:val="17"/>
              </w:rPr>
              <w:t>Purchasing</w:t>
            </w:r>
          </w:p>
        </w:tc>
        <w:tc>
          <w:tcPr>
            <w:tcW w:type="dxa" w:w="2608"/>
          </w:tcPr>
          <w:p>
            <w:pPr>
              <w:spacing w:after="40" w:line="252" w:lineRule="auto"/>
            </w:pPr>
            <w:r>
              <w:rPr>
                <w:b w:val="0"/>
                <w:i w:val="0"/>
                <w:sz w:val="17"/>
              </w:rPr>
              <w:t>Roles, supplier requests, gaps, blocking</w:t>
            </w:r>
          </w:p>
        </w:tc>
        <w:tc>
          <w:tcPr>
            <w:tcW w:type="dxa" w:w="907"/>
          </w:tcPr>
          <w:p>
            <w:pPr>
              <w:spacing w:after="40" w:line="252" w:lineRule="auto"/>
            </w:pPr>
            <w:r>
              <w:rPr>
                <w:b w:val="0"/>
                <w:i w:val="0"/>
                <w:sz w:val="17"/>
              </w:rPr>
              <w:t>2 hours</w:t>
            </w:r>
          </w:p>
        </w:tc>
        <w:tc>
          <w:tcPr>
            <w:tcW w:type="dxa" w:w="1814"/>
          </w:tcPr>
          <w:p>
            <w:pPr>
              <w:spacing w:after="40" w:line="252" w:lineRule="auto"/>
            </w:pPr>
            <w:r>
              <w:rPr>
                <w:b w:val="0"/>
                <w:i w:val="0"/>
                <w:sz w:val="17"/>
              </w:rPr>
              <w:t>6 people (list in the file)</w:t>
            </w:r>
          </w:p>
        </w:tc>
        <w:tc>
          <w:tcPr>
            <w:tcW w:type="dxa" w:w="1474"/>
          </w:tcPr>
          <w:p>
            <w:pPr>
              <w:spacing w:after="40" w:line="252" w:lineRule="auto"/>
            </w:pPr>
            <w:r>
              <w:rPr>
                <w:b w:val="0"/>
                <w:i w:val="0"/>
                <w:sz w:val="17"/>
              </w:rPr>
              <w:t>Compliance officer</w:t>
            </w:r>
          </w:p>
        </w:tc>
      </w:tr>
      <w:tr>
        <w:tc>
          <w:tcPr>
            <w:tcW w:type="dxa" w:w="1247"/>
          </w:tcPr>
          <w:p>
            <w:pPr>
              <w:spacing w:after="40" w:line="252" w:lineRule="auto"/>
            </w:pPr>
            <w:r>
              <w:rPr>
                <w:b w:val="0"/>
                <w:i w:val="0"/>
                <w:sz w:val="17"/>
              </w:rPr>
              <w:t>18 Nov 2026</w:t>
            </w:r>
          </w:p>
        </w:tc>
        <w:tc>
          <w:tcPr>
            <w:tcW w:type="dxa" w:w="1587"/>
          </w:tcPr>
          <w:p>
            <w:pPr>
              <w:spacing w:after="40" w:line="252" w:lineRule="auto"/>
            </w:pPr>
            <w:r>
              <w:rPr>
                <w:b w:val="0"/>
                <w:i w:val="0"/>
                <w:sz w:val="17"/>
              </w:rPr>
              <w:t>Warehouse</w:t>
            </w:r>
          </w:p>
        </w:tc>
        <w:tc>
          <w:tcPr>
            <w:tcW w:type="dxa" w:w="2608"/>
          </w:tcPr>
          <w:p>
            <w:pPr>
              <w:spacing w:after="40" w:line="252" w:lineRule="auto"/>
            </w:pPr>
            <w:r>
              <w:rPr>
                <w:b w:val="0"/>
                <w:i w:val="0"/>
                <w:sz w:val="17"/>
              </w:rPr>
              <w:t>Status “EUDR cleared”, segregation, old stock, sampling</w:t>
            </w:r>
          </w:p>
        </w:tc>
        <w:tc>
          <w:tcPr>
            <w:tcW w:type="dxa" w:w="907"/>
          </w:tcPr>
          <w:p>
            <w:pPr>
              <w:spacing w:after="40" w:line="252" w:lineRule="auto"/>
            </w:pPr>
            <w:r>
              <w:rPr>
                <w:b w:val="0"/>
                <w:i w:val="0"/>
                <w:sz w:val="17"/>
              </w:rPr>
              <w:t>1 hour</w:t>
            </w:r>
          </w:p>
        </w:tc>
        <w:tc>
          <w:tcPr>
            <w:tcW w:type="dxa" w:w="1814"/>
          </w:tcPr>
          <w:p>
            <w:pPr>
              <w:spacing w:after="40" w:line="252" w:lineRule="auto"/>
            </w:pPr>
            <w:r>
              <w:rPr>
                <w:b w:val="0"/>
                <w:i w:val="0"/>
                <w:sz w:val="17"/>
              </w:rPr>
              <w:t>9 people (list in the file)</w:t>
            </w:r>
          </w:p>
        </w:tc>
        <w:tc>
          <w:tcPr>
            <w:tcW w:type="dxa" w:w="1474"/>
          </w:tcPr>
          <w:p>
            <w:pPr>
              <w:spacing w:after="40" w:line="252" w:lineRule="auto"/>
            </w:pPr>
            <w:r>
              <w:rPr>
                <w:b w:val="0"/>
                <w:i w:val="0"/>
                <w:sz w:val="17"/>
              </w:rPr>
              <w:t>EUDR team</w:t>
            </w:r>
          </w:p>
        </w:tc>
      </w:tr>
      <w:tr>
        <w:tc>
          <w:tcPr>
            <w:tcW w:type="dxa" w:w="1247"/>
          </w:tcPr>
          <w:p>
            <w:pPr>
              <w:spacing w:after="40" w:line="252" w:lineRule="auto"/>
            </w:pPr>
            <w:r>
              <w:rPr>
                <w:b w:val="0"/>
                <w:i w:val="0"/>
                <w:sz w:val="17"/>
              </w:rPr>
              <w:t>19 Nov 2026</w:t>
            </w:r>
          </w:p>
        </w:tc>
        <w:tc>
          <w:tcPr>
            <w:tcW w:type="dxa" w:w="1587"/>
          </w:tcPr>
          <w:p>
            <w:pPr>
              <w:spacing w:after="40" w:line="252" w:lineRule="auto"/>
            </w:pPr>
            <w:r>
              <w:rPr>
                <w:b w:val="0"/>
                <w:i w:val="0"/>
                <w:sz w:val="17"/>
              </w:rPr>
              <w:t>Customs and logistics, sales</w:t>
            </w:r>
          </w:p>
        </w:tc>
        <w:tc>
          <w:tcPr>
            <w:tcW w:type="dxa" w:w="2608"/>
          </w:tcPr>
          <w:p>
            <w:pPr>
              <w:spacing w:after="40" w:line="252" w:lineRule="auto"/>
            </w:pPr>
            <w:r>
              <w:rPr>
                <w:b w:val="0"/>
                <w:i w:val="0"/>
                <w:sz w:val="17"/>
              </w:rPr>
              <w:t>Statement, reference number, emergency procedure, passing on to customers</w:t>
            </w:r>
          </w:p>
        </w:tc>
        <w:tc>
          <w:tcPr>
            <w:tcW w:type="dxa" w:w="907"/>
          </w:tcPr>
          <w:p>
            <w:pPr>
              <w:spacing w:after="40" w:line="252" w:lineRule="auto"/>
            </w:pPr>
            <w:r>
              <w:rPr>
                <w:b w:val="0"/>
                <w:i w:val="0"/>
                <w:sz w:val="17"/>
              </w:rPr>
              <w:t>2 hours</w:t>
            </w:r>
          </w:p>
        </w:tc>
        <w:tc>
          <w:tcPr>
            <w:tcW w:type="dxa" w:w="1814"/>
          </w:tcPr>
          <w:p>
            <w:pPr>
              <w:spacing w:after="40" w:line="252" w:lineRule="auto"/>
            </w:pPr>
            <w:r>
              <w:rPr>
                <w:b w:val="0"/>
                <w:i w:val="0"/>
                <w:sz w:val="17"/>
              </w:rPr>
              <w:t>7 people (list in the file)</w:t>
            </w:r>
          </w:p>
        </w:tc>
        <w:tc>
          <w:tcPr>
            <w:tcW w:type="dxa" w:w="1474"/>
          </w:tcPr>
          <w:p>
            <w:pPr>
              <w:spacing w:after="40" w:line="252" w:lineRule="auto"/>
            </w:pPr>
            <w:r>
              <w:rPr>
                <w:b w:val="0"/>
                <w:i w:val="0"/>
                <w:sz w:val="17"/>
              </w:rPr>
              <w:t>EUDR team</w:t>
            </w:r>
          </w:p>
        </w:tc>
      </w:tr>
      <w:tr>
        <w:tc>
          <w:tcPr>
            <w:tcW w:type="dxa" w:w="1247"/>
          </w:tcPr>
          <w:p>
            <w:pPr>
              <w:spacing w:after="40" w:line="252" w:lineRule="auto"/>
            </w:pPr>
            <w:r>
              <w:rPr>
                <w:b w:val="0"/>
                <w:i w:val="0"/>
                <w:sz w:val="17"/>
              </w:rPr>
              <w:t>17 Dec 2026</w:t>
            </w:r>
          </w:p>
        </w:tc>
        <w:tc>
          <w:tcPr>
            <w:tcW w:type="dxa" w:w="1587"/>
          </w:tcPr>
          <w:p>
            <w:pPr>
              <w:spacing w:after="40" w:line="252" w:lineRule="auto"/>
            </w:pPr>
            <w:r>
              <w:rPr>
                <w:b w:val="0"/>
                <w:i w:val="0"/>
                <w:sz w:val="17"/>
              </w:rPr>
              <w:t>Warehouse (follow-up)</w:t>
            </w:r>
          </w:p>
        </w:tc>
        <w:tc>
          <w:tcPr>
            <w:tcW w:type="dxa" w:w="2608"/>
          </w:tcPr>
          <w:p>
            <w:pPr>
              <w:spacing w:after="40" w:line="252" w:lineRule="auto"/>
            </w:pPr>
            <w:r>
              <w:rPr>
                <w:b w:val="0"/>
                <w:i w:val="0"/>
                <w:sz w:val="17"/>
              </w:rPr>
              <w:t>as on 18 Nov 2026</w:t>
            </w:r>
          </w:p>
        </w:tc>
        <w:tc>
          <w:tcPr>
            <w:tcW w:type="dxa" w:w="907"/>
          </w:tcPr>
          <w:p>
            <w:pPr>
              <w:spacing w:after="40" w:line="252" w:lineRule="auto"/>
            </w:pPr>
            <w:r>
              <w:rPr>
                <w:b w:val="0"/>
                <w:i w:val="0"/>
                <w:sz w:val="17"/>
              </w:rPr>
              <w:t>1 hour</w:t>
            </w:r>
          </w:p>
        </w:tc>
        <w:tc>
          <w:tcPr>
            <w:tcW w:type="dxa" w:w="1814"/>
          </w:tcPr>
          <w:p>
            <w:pPr>
              <w:spacing w:after="40" w:line="252" w:lineRule="auto"/>
            </w:pPr>
            <w:r>
              <w:rPr>
                <w:b w:val="0"/>
                <w:i w:val="0"/>
                <w:sz w:val="17"/>
              </w:rPr>
              <w:t>3 people (list in the file)</w:t>
            </w:r>
          </w:p>
        </w:tc>
        <w:tc>
          <w:tcPr>
            <w:tcW w:type="dxa" w:w="1474"/>
          </w:tcPr>
          <w:p>
            <w:pPr>
              <w:spacing w:after="40" w:line="252" w:lineRule="auto"/>
            </w:pPr>
            <w:r>
              <w:rPr>
                <w:b w:val="0"/>
                <w:i w:val="0"/>
                <w:sz w:val="17"/>
              </w:rPr>
              <w:t>EUDR team</w:t>
            </w:r>
          </w:p>
        </w:tc>
      </w:tr>
    </w:tbl>
    <w:p>
      <w:pPr>
        <w:spacing w:after="40"/>
      </w:pPr>
    </w:p>
    <w:p>
      <w:pPr>
        <w:pStyle w:val="Heading2"/>
      </w:pPr>
      <w:r>
        <w:t>Annex I: Completion check before approval</w:t>
      </w:r>
    </w:p>
    <w:p>
      <w:r>
        <w:rPr>
          <w:b w:val="0"/>
          <w:i w:val="0"/>
          <w:sz w:val="18"/>
        </w:rPr>
        <w:t>Tick before approval.</w:t>
      </w:r>
    </w:p>
    <w:p>
      <w:pPr>
        <w:spacing w:after="40"/>
      </w:pPr>
      <w:r>
        <w:rPr>
          <w:b w:val="0"/>
          <w:i w:val="0"/>
          <w:sz w:val="17"/>
        </w:rPr>
        <w:t>☒ Building block 1: Legal entity, Sites and warehouses, Activities, Products, Exclusions, Company size, Previous year, Date of application</w:t>
      </w:r>
    </w:p>
    <w:p>
      <w:pPr>
        <w:spacing w:after="40"/>
      </w:pPr>
      <w:r>
        <w:rPr>
          <w:b w:val="0"/>
          <w:i w:val="0"/>
          <w:sz w:val="17"/>
        </w:rPr>
        <w:t>☒ Building block 2: Sourcing routes, New sourcing routes, Review of roles</w:t>
      </w:r>
    </w:p>
    <w:p>
      <w:pPr>
        <w:spacing w:after="40"/>
      </w:pPr>
      <w:r>
        <w:rPr>
          <w:b w:val="0"/>
          <w:i w:val="0"/>
          <w:sz w:val="17"/>
        </w:rPr>
        <w:t>☒ Building block 3: Management, Compliance officer, Process owners, Responsibility matrix, Information system, Authorised representative under Art. 6, Service providers and tools, Training</w:t>
      </w:r>
    </w:p>
    <w:p>
      <w:pPr>
        <w:spacing w:after="40"/>
      </w:pPr>
      <w:r>
        <w:rPr>
          <w:b w:val="0"/>
          <w:i w:val="0"/>
          <w:sz w:val="17"/>
        </w:rPr>
        <w:t>☒ Building block 4: Checklist under Art. 9(1), Supplier request, Geolocation, Tree species, Legality, Completeness, Handling gaps</w:t>
      </w:r>
    </w:p>
    <w:p>
      <w:pPr>
        <w:spacing w:after="40"/>
      </w:pPr>
      <w:r>
        <w:rPr>
          <w:b w:val="0"/>
          <w:i w:val="0"/>
          <w:sz w:val="17"/>
        </w:rPr>
        <w:t>☒ Building block 5: Unit of assessment, Criteria, Rating, Overall rule, Country risk, Tools, Article 13 route, Review</w:t>
      </w:r>
    </w:p>
    <w:p>
      <w:pPr>
        <w:spacing w:after="40"/>
      </w:pPr>
      <w:r>
        <w:rPr>
          <w:b w:val="0"/>
          <w:i w:val="0"/>
          <w:sz w:val="17"/>
        </w:rPr>
        <w:t>☒ Building block 6: Measures catalogue, Decision, Reassessment, Termination and block, Mixing at processing sites, Documentation, Review</w:t>
      </w:r>
    </w:p>
    <w:p>
      <w:pPr>
        <w:spacing w:after="40"/>
      </w:pPr>
      <w:r>
        <w:rPr>
          <w:b w:val="0"/>
          <w:i w:val="0"/>
          <w:sz w:val="17"/>
        </w:rPr>
        <w:t>☒ Building block 7: Release point, Release criteria, Released by, Technical block, Labelling, Warehouse, Quantity reconciliation</w:t>
      </w:r>
    </w:p>
    <w:p>
      <w:pPr>
        <w:spacing w:after="40"/>
      </w:pPr>
      <w:r>
        <w:rPr>
          <w:b w:val="0"/>
          <w:i w:val="0"/>
          <w:sz w:val="17"/>
        </w:rPr>
        <w:t>☒ Building block 8: Preparation and submission, Type of statement, Coverage, Quantity reconciliation, Check before submission, Amendment and withdrawal, Passing on, Emergency procedure, Filing</w:t>
      </w:r>
    </w:p>
    <w:p>
      <w:pPr>
        <w:spacing w:after="40"/>
      </w:pPr>
      <w:r>
        <w:rPr>
          <w:b w:val="0"/>
          <w:i w:val="0"/>
          <w:sz w:val="17"/>
        </w:rPr>
        <w:t>☒ Building block 9: Input channels, Recording and responsibility, Deadline for the first assessment, Immediate measure, Notification, Under simplified due diligence, Feedback</w:t>
      </w:r>
    </w:p>
    <w:p>
      <w:pPr>
        <w:spacing w:after="40"/>
      </w:pPr>
      <w:r>
        <w:rPr>
          <w:b w:val="0"/>
          <w:i w:val="0"/>
          <w:sz w:val="17"/>
        </w:rPr>
        <w:t>☒ Building block 10: Internal controls, Report to management, Audit function, Audit mandate, Follow-up of actions, Sharing results with customers</w:t>
      </w:r>
    </w:p>
    <w:p>
      <w:pPr>
        <w:spacing w:after="40"/>
      </w:pPr>
      <w:r>
        <w:rPr>
          <w:b w:val="0"/>
          <w:i w:val="0"/>
          <w:sz w:val="17"/>
        </w:rPr>
        <w:t>☒ Building block 11: File per reference number, Retention periods and start, Storage, access, backup, Deletion, Contact person for the authority, Day of a check</w:t>
      </w:r>
    </w:p>
    <w:p>
      <w:pPr>
        <w:spacing w:after="40"/>
      </w:pPr>
      <w:r>
        <w:rPr>
          <w:b w:val="0"/>
          <w:i w:val="0"/>
          <w:sz w:val="17"/>
        </w:rPr>
        <w:t>☒ Building block 12: Annual review, Triggers for an immediate update, Change log, Public report</w:t>
      </w:r>
    </w:p>
    <w:p>
      <w:pPr>
        <w:spacing w:after="40"/>
      </w:pPr>
      <w:r>
        <w:rPr>
          <w:b w:val="0"/>
          <w:i w:val="0"/>
          <w:sz w:val="17"/>
        </w:rPr>
        <w:t>☒ Cover page complete</w:t>
      </w:r>
    </w:p>
    <w:p>
      <w:pPr>
        <w:spacing w:after="40"/>
      </w:pPr>
      <w:r>
        <w:rPr>
          <w:b w:val="0"/>
          <w:i w:val="0"/>
          <w:sz w:val="17"/>
        </w:rPr>
        <w:t>☒ Change log with first version</w:t>
      </w:r>
    </w:p>
    <w:p>
      <w:pPr>
        <w:spacing w:after="40"/>
      </w:pPr>
      <w:r>
        <w:rPr>
          <w:b w:val="0"/>
          <w:i w:val="0"/>
          <w:sz w:val="17"/>
        </w:rPr>
        <w:t>☒ Annexes B to E and H filled in</w:t>
      </w:r>
    </w:p>
    <w:p>
      <w:pPr>
        <w:spacing w:after="40"/>
      </w:pPr>
      <w:r>
        <w:rPr>
          <w:b w:val="0"/>
          <w:i w:val="0"/>
          <w:sz w:val="17"/>
        </w:rPr>
        <w:t>☒ Grey notes deleted</w:t>
      </w:r>
    </w:p>
    <w:p>
      <w:pPr>
        <w:spacing w:after="40"/>
      </w:pPr>
      <w:r>
        <w:rPr>
          <w:b w:val="0"/>
          <w:i w:val="0"/>
          <w:sz w:val="17"/>
        </w:rPr>
        <w:t>☒ Approval by management with date</w:t>
      </w:r>
    </w:p>
    <w:p>
      <w:r>
        <w:rPr>
          <w:b w:val="0"/>
          <w:i/>
          <w:sz w:val="18"/>
        </w:rPr>
        <w:t>All points done; approval of version 1.0 on 14 December 2026, version 1.1 on 20 January 2027.</w:t>
      </w:r>
    </w:p>
    <w:sectPr w:rsidR="00FC693F" w:rsidRPr="0006063C" w:rsidSect="00034616">
      <w:headerReference w:type="default" r:id="rId9"/>
      <w:footerReference w:type="default" r:id="rId10"/>
      <w:pgSz w:w="11906" w:h="16838"/>
      <w:pgMar w:top="1134"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95959"/>
        <w:sz w:val="15"/>
      </w:rPr>
      <w:t xml:space="preserve">Fictitious example. Company, people, suppliers, plots, quantities and findings are invented. The example shows the structure and depth of a due diligence system, not real results, and is not legal advice. Example: HRG Polygon One GmbH, polygon-one.com, as of 30 October 2026. </w:t>
    </w:r>
    <w:r>
      <w:rPr>
        <w:color w:val="595959"/>
        <w:sz w:val="15"/>
      </w:rPr>
      <w:t xml:space="preserve">Page </w:t>
    </w:r>
    <w:r>
      <w:rPr>
        <w:sz w:val="15"/>
      </w:rPr>
      <w:fldChar w:fldCharType="begin"/>
    </w:r>
    <w:r>
      <w:rPr>
        <w:sz w:val="15"/>
      </w:rPr>
      <w:instrText xml:space="preserve">PAGE</w:instrText>
    </w:r>
    <w:r>
      <w:rPr>
        <w:sz w:val="15"/>
      </w:rPr>
      <w:fldChar w:fldCharType="separate"/>
    </w:r>
    <w:r>
      <w:rPr>
        <w:sz w:val="15"/>
      </w:rPr>
      <w:t>1</w:t>
    </w:r>
    <w:r>
      <w:rPr>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i w:val="0"/>
        <w:color w:val="9C2A1E"/>
        <w:sz w:val="16"/>
      </w:rPr>
      <w:t>FICTITIOUS EXAMPLE · Muster Holz &amp; Möbel GmbH · Due diligence system version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C183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6AA6"/>
      <w:sz w:val="24"/>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Arial" w:hAnsi="Arial"/>
      <w:b/>
      <w:bCs/>
      <w:color w:val="0C183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Arial" w:hAnsi="Arial"/>
      <w:b/>
      <w:color w:val="0C183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Due diligence system under Article 12 of Regulation (EU) 2023/1115 (EUDR), worked example</dc:title>
  <dc:subject>Fictitious worked example</dc:subject>
  <dc:creator>HRG Polygon One GmbH</dc:creator>
  <cp:keywords>EUDR, Article 12, due diligence system</cp:keywords>
  <dc:description/>
  <cp:lastModifiedBy>HRG Polygon One GmbH</cp:lastModifiedBy>
  <cp:revision>1</cp:revision>
  <dcterms:created xsi:type="dcterms:W3CDTF">2026-10-30T12:00:00Z</dcterms:created>
  <dcterms:modified xsi:type="dcterms:W3CDTF">2026-10-30T12:00:00Z</dcterms:modified>
  <cp:category/>
  <dc:language>en-GB</dc:language>
</cp:coreProperties>
</file>