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Due diligence system under Article 12 of Regulation (EU) 2023/1115 (EUDR)</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402"/>
        <w:gridCol w:w="6236"/>
      </w:tblGrid>
      <w:tr>
        <w:trPr>
          <w:tblHeader w:val="true"/>
        </w:trPr>
        <w:tc>
          <w:tcPr>
            <w:tcW w:type="dxa" w:w="3402"/>
            <w:shd w:val="clear" w:color="auto" w:fill="D9E2EC"/>
          </w:tcPr>
          <w:p>
            <w:pPr>
              <w:spacing w:after="40" w:line="252" w:lineRule="auto"/>
            </w:pPr>
            <w:r>
              <w:rPr>
                <w:b/>
                <w:i w:val="0"/>
                <w:sz w:val="19"/>
              </w:rPr>
              <w:t>Field</w:t>
            </w:r>
          </w:p>
        </w:tc>
        <w:tc>
          <w:tcPr>
            <w:tcW w:type="dxa" w:w="6236"/>
            <w:shd w:val="clear" w:color="auto" w:fill="D9E2EC"/>
          </w:tcPr>
          <w:p>
            <w:pPr>
              <w:spacing w:after="40" w:line="252" w:lineRule="auto"/>
            </w:pPr>
            <w:r>
              <w:rPr>
                <w:b/>
                <w:i w:val="0"/>
                <w:sz w:val="19"/>
              </w:rPr>
              <w:t>Entry</w:t>
            </w:r>
          </w:p>
        </w:tc>
      </w:tr>
      <w:tr>
        <w:tc>
          <w:tcPr>
            <w:tcW w:type="dxa" w:w="3402"/>
          </w:tcPr>
          <w:p>
            <w:pPr>
              <w:spacing w:after="40" w:line="252" w:lineRule="auto"/>
            </w:pPr>
            <w:r>
              <w:rPr>
                <w:b/>
                <w:i w:val="0"/>
                <w:sz w:val="19"/>
              </w:rPr>
              <w:t>Company</w:t>
            </w:r>
          </w:p>
        </w:tc>
        <w:tc>
          <w:tcPr>
            <w:tcW w:type="dxa" w:w="6236"/>
          </w:tcPr>
          <w:p>
            <w:pPr>
              <w:spacing w:after="40" w:line="252" w:lineRule="auto"/>
            </w:pPr>
            <w:r>
              <w:rPr>
                <w:b w:val="0"/>
                <w:i w:val="0"/>
                <w:sz w:val="19"/>
                <w:shd w:val="clear" w:color="auto" w:fill="E3E3E3"/>
              </w:rPr>
              <w:t>[Company name]</w:t>
            </w:r>
          </w:p>
        </w:tc>
      </w:tr>
      <w:tr>
        <w:tc>
          <w:tcPr>
            <w:tcW w:type="dxa" w:w="3402"/>
          </w:tcPr>
          <w:p>
            <w:pPr>
              <w:spacing w:after="40" w:line="252" w:lineRule="auto"/>
            </w:pPr>
            <w:r>
              <w:rPr>
                <w:b/>
                <w:i w:val="0"/>
                <w:sz w:val="19"/>
              </w:rPr>
              <w:t>Legal form, registered office, commercial register</w:t>
            </w:r>
          </w:p>
        </w:tc>
        <w:tc>
          <w:tcPr>
            <w:tcW w:type="dxa" w:w="6236"/>
          </w:tcPr>
          <w:p>
            <w:pPr>
              <w:spacing w:after="40" w:line="252" w:lineRule="auto"/>
            </w:pPr>
            <w:r>
              <w:rPr>
                <w:b w:val="0"/>
                <w:i w:val="0"/>
                <w:sz w:val="19"/>
                <w:shd w:val="clear" w:color="auto" w:fill="E3E3E3"/>
              </w:rPr>
              <w:t>[Legal form, registered office, register court and number]</w:t>
            </w:r>
          </w:p>
        </w:tc>
      </w:tr>
      <w:tr>
        <w:tc>
          <w:tcPr>
            <w:tcW w:type="dxa" w:w="3402"/>
          </w:tcPr>
          <w:p>
            <w:pPr>
              <w:spacing w:after="40" w:line="252" w:lineRule="auto"/>
            </w:pPr>
            <w:r>
              <w:rPr>
                <w:b/>
                <w:i w:val="0"/>
                <w:sz w:val="19"/>
              </w:rPr>
              <w:t>EORI number</w:t>
            </w:r>
          </w:p>
        </w:tc>
        <w:tc>
          <w:tcPr>
            <w:tcW w:type="dxa" w:w="6236"/>
          </w:tcPr>
          <w:p>
            <w:pPr>
              <w:spacing w:after="40" w:line="252" w:lineRule="auto"/>
            </w:pPr>
            <w:r>
              <w:rPr>
                <w:b w:val="0"/>
                <w:i w:val="0"/>
                <w:sz w:val="19"/>
                <w:shd w:val="clear" w:color="auto" w:fill="E3E3E3"/>
              </w:rPr>
              <w:t>[EORI]</w:t>
            </w:r>
          </w:p>
        </w:tc>
      </w:tr>
      <w:tr>
        <w:tc>
          <w:tcPr>
            <w:tcW w:type="dxa" w:w="3402"/>
          </w:tcPr>
          <w:p>
            <w:pPr>
              <w:spacing w:after="40" w:line="252" w:lineRule="auto"/>
            </w:pPr>
            <w:r>
              <w:rPr>
                <w:b/>
                <w:i w:val="0"/>
                <w:sz w:val="19"/>
              </w:rPr>
              <w:t>Identifier in the EU Information System</w:t>
            </w:r>
          </w:p>
        </w:tc>
        <w:tc>
          <w:tcPr>
            <w:tcW w:type="dxa" w:w="6236"/>
          </w:tcPr>
          <w:p>
            <w:pPr>
              <w:spacing w:after="40" w:line="252" w:lineRule="auto"/>
            </w:pPr>
            <w:r>
              <w:rPr>
                <w:b w:val="0"/>
                <w:i w:val="0"/>
                <w:sz w:val="19"/>
                <w:shd w:val="clear" w:color="auto" w:fill="E3E3E3"/>
              </w:rPr>
              <w:t>[account identifier]</w:t>
            </w:r>
          </w:p>
        </w:tc>
      </w:tr>
      <w:tr>
        <w:tc>
          <w:tcPr>
            <w:tcW w:type="dxa" w:w="3402"/>
          </w:tcPr>
          <w:p>
            <w:pPr>
              <w:spacing w:after="40" w:line="252" w:lineRule="auto"/>
            </w:pPr>
            <w:r>
              <w:rPr>
                <w:b/>
                <w:i w:val="0"/>
                <w:sz w:val="19"/>
              </w:rPr>
              <w:t>Version</w:t>
            </w:r>
          </w:p>
        </w:tc>
        <w:tc>
          <w:tcPr>
            <w:tcW w:type="dxa" w:w="6236"/>
          </w:tcPr>
          <w:p>
            <w:pPr>
              <w:spacing w:after="40" w:line="252" w:lineRule="auto"/>
            </w:pPr>
            <w:r>
              <w:rPr>
                <w:b w:val="0"/>
                <w:i w:val="0"/>
                <w:sz w:val="19"/>
                <w:shd w:val="clear" w:color="auto" w:fill="E3E3E3"/>
              </w:rPr>
              <w:t>[x.y]</w:t>
            </w:r>
          </w:p>
        </w:tc>
      </w:tr>
      <w:tr>
        <w:tc>
          <w:tcPr>
            <w:tcW w:type="dxa" w:w="3402"/>
          </w:tcPr>
          <w:p>
            <w:pPr>
              <w:spacing w:after="40" w:line="252" w:lineRule="auto"/>
            </w:pPr>
            <w:r>
              <w:rPr>
                <w:b/>
                <w:i w:val="0"/>
                <w:sz w:val="19"/>
              </w:rPr>
              <w:t>Valid from</w:t>
            </w:r>
          </w:p>
        </w:tc>
        <w:tc>
          <w:tcPr>
            <w:tcW w:type="dxa" w:w="6236"/>
          </w:tcPr>
          <w:p>
            <w:pPr>
              <w:spacing w:after="40" w:line="252" w:lineRule="auto"/>
            </w:pPr>
            <w:r>
              <w:rPr>
                <w:b w:val="0"/>
                <w:i w:val="0"/>
                <w:sz w:val="19"/>
                <w:shd w:val="clear" w:color="auto" w:fill="E3E3E3"/>
              </w:rPr>
              <w:t>[date]</w:t>
            </w:r>
          </w:p>
        </w:tc>
      </w:tr>
      <w:tr>
        <w:tc>
          <w:tcPr>
            <w:tcW w:type="dxa" w:w="3402"/>
          </w:tcPr>
          <w:p>
            <w:pPr>
              <w:spacing w:after="40" w:line="252" w:lineRule="auto"/>
            </w:pPr>
            <w:r>
              <w:rPr>
                <w:b/>
                <w:i w:val="0"/>
                <w:sz w:val="19"/>
              </w:rPr>
              <w:t>Approved by management</w:t>
            </w:r>
          </w:p>
        </w:tc>
        <w:tc>
          <w:tcPr>
            <w:tcW w:type="dxa" w:w="6236"/>
          </w:tcPr>
          <w:p>
            <w:pPr>
              <w:spacing w:after="40" w:line="252" w:lineRule="auto"/>
            </w:pPr>
            <w:r>
              <w:rPr>
                <w:b w:val="0"/>
                <w:i w:val="0"/>
                <w:sz w:val="19"/>
                <w:shd w:val="clear" w:color="auto" w:fill="E3E3E3"/>
              </w:rPr>
              <w:t>[name, function, date]</w:t>
            </w:r>
          </w:p>
        </w:tc>
      </w:tr>
      <w:tr>
        <w:tc>
          <w:tcPr>
            <w:tcW w:type="dxa" w:w="3402"/>
          </w:tcPr>
          <w:p>
            <w:pPr>
              <w:spacing w:after="40" w:line="252" w:lineRule="auto"/>
            </w:pPr>
            <w:r>
              <w:rPr>
                <w:b/>
                <w:i w:val="0"/>
                <w:sz w:val="19"/>
              </w:rPr>
              <w:t>Next scheduled review</w:t>
            </w:r>
          </w:p>
        </w:tc>
        <w:tc>
          <w:tcPr>
            <w:tcW w:type="dxa" w:w="6236"/>
          </w:tcPr>
          <w:p>
            <w:pPr>
              <w:spacing w:after="40" w:line="252" w:lineRule="auto"/>
            </w:pPr>
            <w:r>
              <w:rPr>
                <w:b w:val="0"/>
                <w:i w:val="0"/>
                <w:sz w:val="19"/>
                <w:shd w:val="clear" w:color="auto" w:fill="E3E3E3"/>
              </w:rPr>
              <w:t>[date, no later than twelve months after the last one]</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val="0"/>
                <w:i/>
                <w:color w:val="404040"/>
                <w:sz w:val="17"/>
              </w:rPr>
              <w:t>Working template by Polygon One, not an official form and not legal advice. The Regulation prescribes no format (Commission FAQ 5.16). Legal status: Regulation (EU) 2023/1115, consolidated version of 18 September 2026, Commission guidelines C/2026/3896, Commission FAQ version 5 (revised 21 August 2026). Replace the placeholders in square brackets and delete the grey notes before approval. Fields marked “non-SMEs only” apply only to operators that are not SMEs. Write the system for your own company; a worked example and explanations are at polygon-one.com/en/eudr-due-diligence-system-template.</w:t>
            </w:r>
          </w:p>
        </w:tc>
      </w:tr>
    </w:tbl>
    <w:p>
      <w:pPr>
        <w:spacing w:after="40"/>
      </w:pPr>
    </w:p>
    <w:p>
      <w:pPr>
        <w:pStyle w:val="Heading1"/>
      </w:pPr>
      <w:r>
        <w:t>Contents</w:t>
      </w:r>
    </w:p>
    <w:p>
      <w:r>
        <w:rPr>
          <w:b w:val="0"/>
          <w:i/>
          <w:color w:val="595959"/>
          <w:sz w:val="16"/>
        </w:rPr>
        <w:t>In Word: click into the table of contents and press F9 to add page numbers.</w:t>
      </w:r>
    </w:p>
    <w:p>
      <w:pPr>
        <w:spacing w:after="20"/>
        <w:ind w:left="0"/>
      </w:pPr>
      <w:r>
        <w:fldChar w:fldCharType="begin"/>
      </w:r>
      <w:r>
        <w:instrText xml:space="preserve">TOC \o "1-2" \h \z \u</w:instrText>
      </w:r>
      <w:r>
        <w:fldChar w:fldCharType="separate"/>
      </w:r>
      <w:r>
        <w:rPr>
          <w:b/>
          <w:sz w:val="19"/>
        </w:rPr>
        <w:t>Document control and change log</w:t>
      </w:r>
    </w:p>
    <w:p>
      <w:pPr>
        <w:spacing w:after="20"/>
        <w:ind w:left="0"/>
      </w:pPr>
      <w:r>
        <w:rPr>
          <w:b/>
          <w:sz w:val="19"/>
        </w:rPr>
        <w:t>How this system is structured</w:t>
      </w:r>
    </w:p>
    <w:p>
      <w:pPr>
        <w:spacing w:after="20"/>
        <w:ind w:left="0"/>
      </w:pPr>
      <w:r>
        <w:rPr>
          <w:b/>
          <w:sz w:val="19"/>
        </w:rPr>
        <w:t>Part A: Framework</w:t>
      </w:r>
    </w:p>
    <w:p>
      <w:pPr>
        <w:spacing w:after="20"/>
        <w:ind w:left="340"/>
      </w:pPr>
      <w:r>
        <w:rPr>
          <w:b w:val="0"/>
          <w:sz w:val="18"/>
        </w:rPr>
        <w:t>Building block 1: Scope and company size</w:t>
      </w:r>
    </w:p>
    <w:p>
      <w:pPr>
        <w:spacing w:after="20"/>
        <w:ind w:left="340"/>
      </w:pPr>
      <w:r>
        <w:rPr>
          <w:b w:val="0"/>
          <w:sz w:val="18"/>
        </w:rPr>
        <w:t>Building block 2: Roles per sourcing route</w:t>
      </w:r>
    </w:p>
    <w:p>
      <w:pPr>
        <w:spacing w:after="20"/>
        <w:ind w:left="340"/>
      </w:pPr>
      <w:r>
        <w:rPr>
          <w:b w:val="0"/>
          <w:sz w:val="18"/>
        </w:rPr>
        <w:t>Building block 3: Accountability and responsibilities</w:t>
      </w:r>
    </w:p>
    <w:p>
      <w:pPr>
        <w:spacing w:after="20"/>
        <w:ind w:left="0"/>
      </w:pPr>
      <w:r>
        <w:rPr>
          <w:b/>
          <w:sz w:val="19"/>
        </w:rPr>
        <w:t>Part B: Process per delivery</w:t>
      </w:r>
    </w:p>
    <w:p>
      <w:pPr>
        <w:spacing w:after="20"/>
        <w:ind w:left="340"/>
      </w:pPr>
      <w:r>
        <w:rPr>
          <w:b w:val="0"/>
          <w:sz w:val="18"/>
        </w:rPr>
        <w:t>Building block 4: Information collection</w:t>
      </w:r>
    </w:p>
    <w:p>
      <w:pPr>
        <w:spacing w:after="20"/>
        <w:ind w:left="340"/>
      </w:pPr>
      <w:r>
        <w:rPr>
          <w:b w:val="0"/>
          <w:sz w:val="18"/>
        </w:rPr>
        <w:t>Building block 5: Risk assessment and simplified due diligence</w:t>
      </w:r>
    </w:p>
    <w:p>
      <w:pPr>
        <w:spacing w:after="20"/>
        <w:ind w:left="340"/>
      </w:pPr>
      <w:r>
        <w:rPr>
          <w:b w:val="0"/>
          <w:sz w:val="18"/>
        </w:rPr>
        <w:t>Building block 6: Risk mitigation</w:t>
      </w:r>
    </w:p>
    <w:p>
      <w:pPr>
        <w:spacing w:after="20"/>
        <w:ind w:left="340"/>
      </w:pPr>
      <w:r>
        <w:rPr>
          <w:b w:val="0"/>
          <w:sz w:val="18"/>
        </w:rPr>
        <w:t>Building block 7: Release and flow of goods</w:t>
      </w:r>
    </w:p>
    <w:p>
      <w:pPr>
        <w:spacing w:after="20"/>
        <w:ind w:left="340"/>
      </w:pPr>
      <w:r>
        <w:rPr>
          <w:b w:val="0"/>
          <w:sz w:val="18"/>
        </w:rPr>
        <w:t>Building block 8: Due diligence statement, reference numbers, customs</w:t>
      </w:r>
    </w:p>
    <w:p>
      <w:pPr>
        <w:spacing w:after="20"/>
        <w:ind w:left="340"/>
      </w:pPr>
      <w:r>
        <w:rPr>
          <w:b w:val="0"/>
          <w:sz w:val="18"/>
        </w:rPr>
        <w:t>Building block 9: New information and substantiated concerns</w:t>
      </w:r>
    </w:p>
    <w:p>
      <w:pPr>
        <w:spacing w:after="20"/>
        <w:ind w:left="0"/>
      </w:pPr>
      <w:r>
        <w:rPr>
          <w:b/>
          <w:sz w:val="19"/>
        </w:rPr>
        <w:t>Part C: Control and maintenance</w:t>
      </w:r>
    </w:p>
    <w:p>
      <w:pPr>
        <w:spacing w:after="20"/>
        <w:ind w:left="340"/>
      </w:pPr>
      <w:r>
        <w:rPr>
          <w:b w:val="0"/>
          <w:sz w:val="18"/>
        </w:rPr>
        <w:t>Building block 10: Internal control and independent audit function</w:t>
      </w:r>
    </w:p>
    <w:p>
      <w:pPr>
        <w:spacing w:after="20"/>
        <w:ind w:left="340"/>
      </w:pPr>
      <w:r>
        <w:rPr>
          <w:b w:val="0"/>
          <w:sz w:val="18"/>
        </w:rPr>
        <w:t>Building block 11: Records and requests from authorities</w:t>
      </w:r>
    </w:p>
    <w:p>
      <w:pPr>
        <w:spacing w:after="20"/>
        <w:ind w:left="340"/>
      </w:pPr>
      <w:r>
        <w:rPr>
          <w:b w:val="0"/>
          <w:sz w:val="18"/>
        </w:rPr>
        <w:t>Building block 12: Review, update, public report</w:t>
      </w:r>
    </w:p>
    <w:p>
      <w:pPr>
        <w:spacing w:after="20"/>
        <w:ind w:left="0"/>
      </w:pPr>
      <w:r>
        <w:rPr>
          <w:b/>
          <w:sz w:val="19"/>
        </w:rPr>
        <w:t>Annexes</w:t>
      </w:r>
    </w:p>
    <w:p>
      <w:pPr>
        <w:spacing w:after="20"/>
        <w:ind w:left="340"/>
      </w:pPr>
      <w:r>
        <w:rPr>
          <w:b w:val="0"/>
          <w:sz w:val="18"/>
        </w:rPr>
        <w:t>Annex A: Obligations as a trader or downstream operator (Art. 5)</w:t>
      </w:r>
    </w:p>
    <w:p>
      <w:pPr>
        <w:spacing w:after="20"/>
        <w:ind w:left="340"/>
      </w:pPr>
      <w:r>
        <w:rPr>
          <w:b w:val="0"/>
          <w:sz w:val="18"/>
        </w:rPr>
        <w:t>Annex B: Product list</w:t>
      </w:r>
    </w:p>
    <w:p>
      <w:pPr>
        <w:spacing w:after="20"/>
        <w:ind w:left="340"/>
      </w:pPr>
      <w:r>
        <w:rPr>
          <w:b w:val="0"/>
          <w:sz w:val="18"/>
        </w:rPr>
        <w:t>Annex C: Sourcing routes and roles</w:t>
      </w:r>
    </w:p>
    <w:p>
      <w:pPr>
        <w:spacing w:after="20"/>
        <w:ind w:left="340"/>
      </w:pPr>
      <w:r>
        <w:rPr>
          <w:b w:val="0"/>
          <w:sz w:val="18"/>
        </w:rPr>
        <w:t>Annex D: Responsibility matrix</w:t>
      </w:r>
    </w:p>
    <w:p>
      <w:pPr>
        <w:spacing w:after="20"/>
        <w:ind w:left="340"/>
      </w:pPr>
      <w:r>
        <w:rPr>
          <w:b w:val="0"/>
          <w:sz w:val="18"/>
        </w:rPr>
        <w:t>Annex E: Risk mitigation measures catalogue</w:t>
      </w:r>
    </w:p>
    <w:p>
      <w:pPr>
        <w:spacing w:after="20"/>
        <w:ind w:left="340"/>
      </w:pPr>
      <w:r>
        <w:rPr>
          <w:b w:val="0"/>
          <w:sz w:val="18"/>
        </w:rPr>
        <w:t>Annex F: Record of the annual review</w:t>
      </w:r>
    </w:p>
    <w:p>
      <w:pPr>
        <w:spacing w:after="20"/>
        <w:ind w:left="340"/>
      </w:pPr>
      <w:r>
        <w:rPr>
          <w:b w:val="0"/>
          <w:sz w:val="18"/>
        </w:rPr>
        <w:t>Annex G: Outline of the public report (non-SMEs only)</w:t>
      </w:r>
    </w:p>
    <w:p>
      <w:pPr>
        <w:spacing w:after="20"/>
        <w:ind w:left="340"/>
      </w:pPr>
      <w:r>
        <w:rPr>
          <w:b w:val="0"/>
          <w:sz w:val="18"/>
        </w:rPr>
        <w:t>Annex H: Training record</w:t>
      </w:r>
    </w:p>
    <w:p>
      <w:pPr>
        <w:spacing w:after="20"/>
        <w:ind w:left="340"/>
      </w:pPr>
      <w:r>
        <w:rPr>
          <w:b w:val="0"/>
          <w:sz w:val="18"/>
        </w:rPr>
        <w:t>Annex I: Completion check before approval</w:t>
      </w:r>
      <w:r>
        <w:fldChar w:fldCharType="end"/>
      </w:r>
    </w:p>
    <w:p>
      <w:pPr>
        <w:pStyle w:val="Heading1"/>
      </w:pPr>
      <w:r>
        <w:t>Document control and change log</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737"/>
        <w:gridCol w:w="1134"/>
        <w:gridCol w:w="2948"/>
        <w:gridCol w:w="2268"/>
        <w:gridCol w:w="1134"/>
        <w:gridCol w:w="1417"/>
      </w:tblGrid>
      <w:tr>
        <w:trPr>
          <w:tblHeader w:val="true"/>
        </w:trPr>
        <w:tc>
          <w:tcPr>
            <w:tcW w:type="dxa" w:w="737"/>
            <w:shd w:val="clear" w:color="auto" w:fill="D9E2EC"/>
          </w:tcPr>
          <w:p>
            <w:pPr>
              <w:spacing w:after="40" w:line="252" w:lineRule="auto"/>
            </w:pPr>
            <w:r>
              <w:rPr>
                <w:b/>
                <w:i w:val="0"/>
                <w:sz w:val="17"/>
              </w:rPr>
              <w:t>Version</w:t>
            </w:r>
          </w:p>
        </w:tc>
        <w:tc>
          <w:tcPr>
            <w:tcW w:type="dxa" w:w="1134"/>
            <w:shd w:val="clear" w:color="auto" w:fill="D9E2EC"/>
          </w:tcPr>
          <w:p>
            <w:pPr>
              <w:spacing w:after="40" w:line="252" w:lineRule="auto"/>
            </w:pPr>
            <w:r>
              <w:rPr>
                <w:b/>
                <w:i w:val="0"/>
                <w:sz w:val="17"/>
              </w:rPr>
              <w:t>Date</w:t>
            </w:r>
          </w:p>
        </w:tc>
        <w:tc>
          <w:tcPr>
            <w:tcW w:type="dxa" w:w="2948"/>
            <w:shd w:val="clear" w:color="auto" w:fill="D9E2EC"/>
          </w:tcPr>
          <w:p>
            <w:pPr>
              <w:spacing w:after="40" w:line="252" w:lineRule="auto"/>
            </w:pPr>
            <w:r>
              <w:rPr>
                <w:b/>
                <w:i w:val="0"/>
                <w:sz w:val="17"/>
              </w:rPr>
              <w:t>Change</w:t>
            </w:r>
          </w:p>
        </w:tc>
        <w:tc>
          <w:tcPr>
            <w:tcW w:type="dxa" w:w="2268"/>
            <w:shd w:val="clear" w:color="auto" w:fill="D9E2EC"/>
          </w:tcPr>
          <w:p>
            <w:pPr>
              <w:spacing w:after="40" w:line="252" w:lineRule="auto"/>
            </w:pPr>
            <w:r>
              <w:rPr>
                <w:b/>
                <w:i w:val="0"/>
                <w:sz w:val="17"/>
              </w:rPr>
              <w:t>Reason</w:t>
            </w:r>
          </w:p>
        </w:tc>
        <w:tc>
          <w:tcPr>
            <w:tcW w:type="dxa" w:w="1134"/>
            <w:shd w:val="clear" w:color="auto" w:fill="D9E2EC"/>
          </w:tcPr>
          <w:p>
            <w:pPr>
              <w:spacing w:after="40" w:line="252" w:lineRule="auto"/>
            </w:pPr>
            <w:r>
              <w:rPr>
                <w:b/>
                <w:i w:val="0"/>
                <w:sz w:val="17"/>
              </w:rPr>
              <w:t>Building blocks</w:t>
            </w:r>
          </w:p>
        </w:tc>
        <w:tc>
          <w:tcPr>
            <w:tcW w:type="dxa" w:w="1417"/>
            <w:shd w:val="clear" w:color="auto" w:fill="D9E2EC"/>
          </w:tcPr>
          <w:p>
            <w:pPr>
              <w:spacing w:after="40" w:line="252" w:lineRule="auto"/>
            </w:pPr>
            <w:r>
              <w:rPr>
                <w:b/>
                <w:i w:val="0"/>
                <w:sz w:val="17"/>
              </w:rPr>
              <w:t>Approved by</w:t>
            </w:r>
          </w:p>
        </w:tc>
      </w:tr>
      <w:tr>
        <w:tc>
          <w:tcPr>
            <w:tcW w:type="dxa" w:w="737"/>
          </w:tcPr>
          <w:p>
            <w:pPr>
              <w:spacing w:after="40" w:line="252" w:lineRule="auto"/>
            </w:pPr>
            <w:r>
              <w:rPr>
                <w:b w:val="0"/>
                <w:i w:val="0"/>
                <w:sz w:val="17"/>
                <w:shd w:val="clear" w:color="auto" w:fill="E3E3E3"/>
              </w:rPr>
              <w:t>[1.0]</w:t>
            </w:r>
          </w:p>
        </w:tc>
        <w:tc>
          <w:tcPr>
            <w:tcW w:type="dxa" w:w="1134"/>
          </w:tcPr>
          <w:p>
            <w:pPr>
              <w:spacing w:after="40" w:line="252" w:lineRule="auto"/>
            </w:pPr>
            <w:r>
              <w:rPr>
                <w:b w:val="0"/>
                <w:i w:val="0"/>
                <w:sz w:val="17"/>
                <w:shd w:val="clear" w:color="auto" w:fill="E3E3E3"/>
              </w:rPr>
              <w:t>[date]</w:t>
            </w:r>
          </w:p>
        </w:tc>
        <w:tc>
          <w:tcPr>
            <w:tcW w:type="dxa" w:w="2948"/>
          </w:tcPr>
          <w:p>
            <w:pPr>
              <w:spacing w:after="40" w:line="252" w:lineRule="auto"/>
            </w:pPr>
            <w:r>
              <w:rPr>
                <w:b w:val="0"/>
                <w:i w:val="0"/>
                <w:sz w:val="17"/>
                <w:shd w:val="clear" w:color="auto" w:fill="E3E3E3"/>
              </w:rPr>
              <w:t>[first version]</w:t>
            </w:r>
          </w:p>
        </w:tc>
        <w:tc>
          <w:tcPr>
            <w:tcW w:type="dxa" w:w="2268"/>
          </w:tcPr>
          <w:p>
            <w:pPr>
              <w:spacing w:after="40" w:line="252" w:lineRule="auto"/>
            </w:pPr>
            <w:r>
              <w:rPr>
                <w:b w:val="0"/>
                <w:i w:val="0"/>
                <w:sz w:val="17"/>
                <w:shd w:val="clear" w:color="auto" w:fill="E3E3E3"/>
              </w:rPr>
              <w:t>[date of application]</w:t>
            </w:r>
          </w:p>
        </w:tc>
        <w:tc>
          <w:tcPr>
            <w:tcW w:type="dxa" w:w="1134"/>
          </w:tcPr>
          <w:p>
            <w:pPr>
              <w:spacing w:after="40" w:line="252" w:lineRule="auto"/>
            </w:pPr>
            <w:r>
              <w:rPr>
                <w:b w:val="0"/>
                <w:i w:val="0"/>
                <w:sz w:val="17"/>
                <w:shd w:val="clear" w:color="auto" w:fill="E3E3E3"/>
              </w:rPr>
              <w:t>[all]</w:t>
            </w:r>
          </w:p>
        </w:tc>
        <w:tc>
          <w:tcPr>
            <w:tcW w:type="dxa" w:w="1417"/>
          </w:tcPr>
          <w:p>
            <w:pPr>
              <w:spacing w:after="40" w:line="252" w:lineRule="auto"/>
            </w:pPr>
            <w:r>
              <w:rPr>
                <w:b w:val="0"/>
                <w:i w:val="0"/>
                <w:sz w:val="17"/>
                <w:shd w:val="clear" w:color="auto" w:fill="E3E3E3"/>
              </w:rPr>
              <w:t>[management, name]</w:t>
            </w:r>
          </w:p>
        </w:tc>
      </w:tr>
      <w:tr>
        <w:trPr>
          <w:trHeight w:val="420" w:hRule="atLeast"/>
        </w:trPr>
        <w:tc>
          <w:tcPr>
            <w:tcW w:type="dxa" w:w="737"/>
          </w:tcPr>
          <w:p>
            <w:pPr>
              <w:spacing w:after="40" w:line="252" w:lineRule="auto"/>
            </w:pPr>
          </w:p>
        </w:tc>
        <w:tc>
          <w:tcPr>
            <w:tcW w:type="dxa" w:w="1134"/>
          </w:tcPr>
          <w:p>
            <w:pPr>
              <w:spacing w:after="40" w:line="252" w:lineRule="auto"/>
            </w:pPr>
          </w:p>
        </w:tc>
        <w:tc>
          <w:tcPr>
            <w:tcW w:type="dxa" w:w="2948"/>
          </w:tcPr>
          <w:p>
            <w:pPr>
              <w:spacing w:after="40" w:line="252" w:lineRule="auto"/>
            </w:pPr>
          </w:p>
        </w:tc>
        <w:tc>
          <w:tcPr>
            <w:tcW w:type="dxa" w:w="2268"/>
          </w:tcPr>
          <w:p>
            <w:pPr>
              <w:spacing w:after="40" w:line="252" w:lineRule="auto"/>
            </w:pPr>
          </w:p>
        </w:tc>
        <w:tc>
          <w:tcPr>
            <w:tcW w:type="dxa" w:w="1134"/>
          </w:tcPr>
          <w:p>
            <w:pPr>
              <w:spacing w:after="40" w:line="252" w:lineRule="auto"/>
            </w:pPr>
          </w:p>
        </w:tc>
        <w:tc>
          <w:tcPr>
            <w:tcW w:type="dxa" w:w="1417"/>
          </w:tcPr>
          <w:p>
            <w:pPr>
              <w:spacing w:after="40" w:line="252" w:lineRule="auto"/>
            </w:pPr>
          </w:p>
        </w:tc>
      </w:tr>
      <w:tr>
        <w:trPr>
          <w:trHeight w:val="420" w:hRule="atLeast"/>
        </w:trPr>
        <w:tc>
          <w:tcPr>
            <w:tcW w:type="dxa" w:w="737"/>
          </w:tcPr>
          <w:p>
            <w:pPr>
              <w:spacing w:after="40" w:line="252" w:lineRule="auto"/>
            </w:pPr>
          </w:p>
        </w:tc>
        <w:tc>
          <w:tcPr>
            <w:tcW w:type="dxa" w:w="1134"/>
          </w:tcPr>
          <w:p>
            <w:pPr>
              <w:spacing w:after="40" w:line="252" w:lineRule="auto"/>
            </w:pPr>
          </w:p>
        </w:tc>
        <w:tc>
          <w:tcPr>
            <w:tcW w:type="dxa" w:w="2948"/>
          </w:tcPr>
          <w:p>
            <w:pPr>
              <w:spacing w:after="40" w:line="252" w:lineRule="auto"/>
            </w:pPr>
          </w:p>
        </w:tc>
        <w:tc>
          <w:tcPr>
            <w:tcW w:type="dxa" w:w="2268"/>
          </w:tcPr>
          <w:p>
            <w:pPr>
              <w:spacing w:after="40" w:line="252" w:lineRule="auto"/>
            </w:pPr>
          </w:p>
        </w:tc>
        <w:tc>
          <w:tcPr>
            <w:tcW w:type="dxa" w:w="1134"/>
          </w:tcPr>
          <w:p>
            <w:pPr>
              <w:spacing w:after="40" w:line="252" w:lineRule="auto"/>
            </w:pPr>
          </w:p>
        </w:tc>
        <w:tc>
          <w:tcPr>
            <w:tcW w:type="dxa" w:w="1417"/>
          </w:tcPr>
          <w:p>
            <w:pPr>
              <w:spacing w:after="40" w:line="252" w:lineRule="auto"/>
            </w:pPr>
          </w:p>
        </w:tc>
      </w:tr>
    </w:tbl>
    <w:p>
      <w:pPr>
        <w:spacing w:after="40"/>
      </w:pPr>
    </w:p>
    <w:p>
      <w:r>
        <w:rPr>
          <w:b/>
        </w:rPr>
        <w:t xml:space="preserve">Distribution: </w:t>
      </w:r>
      <w:r>
        <w:rPr>
          <w:b w:val="0"/>
          <w:i w:val="0"/>
          <w:shd w:val="clear" w:color="auto" w:fill="E3E3E3"/>
        </w:rPr>
        <w:t>[functions that receive this system, for example management, purchasing, quality, customs and logistics, warehouse, sales, IT]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Records of updates to the system are kept for five years (Art. 12(2)). Enter every change with its reason, including small ones; the log shows the authority that the system is maintained.</w:t>
            </w:r>
          </w:p>
        </w:tc>
      </w:tr>
    </w:tbl>
    <w:p>
      <w:pPr>
        <w:spacing w:after="40"/>
      </w:pPr>
    </w:p>
    <w:p>
      <w:pPr>
        <w:pStyle w:val="Heading1"/>
      </w:pPr>
      <w:r>
        <w:t>How this system is structured</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According to its own account, the BLE starts a check from the reference number of one statement and examines the system from there with reference to that delivery (web seminar of 15 October 2026). The building blocks are therefore arranged so that an inspector can go from the delivery (blocks 7 and 8) to assessment and information (blocks 4 to 6) and on to the framework (blocks 1 to 3 and 10 to 12). Each block names its legal basis, the required fields and the record in the file that proves its implementation for a specific delivery.</w:t>
            </w:r>
          </w:p>
        </w:tc>
      </w:tr>
    </w:tbl>
    <w:p>
      <w:pPr>
        <w:spacing w:after="40"/>
      </w:pPr>
    </w:p>
    <w:p>
      <w:pPr>
        <w:pStyle w:val="Heading1"/>
      </w:pPr>
      <w:r>
        <w:t>Part A: Framework</w:t>
      </w:r>
    </w:p>
    <w:p>
      <w:pPr>
        <w:pStyle w:val="Heading2"/>
      </w:pPr>
      <w:r>
        <w:t>Building block 1: Scope and company size</w:t>
      </w:r>
    </w:p>
    <w:p>
      <w:r>
        <w:rPr>
          <w:b/>
          <w:sz w:val="18"/>
        </w:rPr>
        <w:t xml:space="preserve">Legal basis: </w:t>
      </w:r>
      <w:r>
        <w:rPr>
          <w:b w:val="0"/>
          <w:i w:val="0"/>
          <w:sz w:val="18"/>
        </w:rPr>
        <w:t>Art. 2(15a) and (30), Art. 38(2) and (3), Annex I as amended by Delegated Regulation (EU) 2026/2102</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Legal entity</w:t>
            </w:r>
          </w:p>
        </w:tc>
        <w:tc>
          <w:tcPr>
            <w:tcW w:type="dxa" w:w="7030"/>
          </w:tcPr>
          <w:p>
            <w:pPr>
              <w:spacing w:after="40" w:line="252" w:lineRule="auto"/>
            </w:pPr>
            <w:r>
              <w:rPr>
                <w:b w:val="0"/>
                <w:i w:val="0"/>
                <w:sz w:val="18"/>
                <w:shd w:val="clear" w:color="auto" w:fill="E3E3E3"/>
              </w:rPr>
              <w:t>[company name, legal form, registered office; one system per operator, for several companies fill in per company]</w:t>
            </w:r>
          </w:p>
        </w:tc>
      </w:tr>
      <w:tr>
        <w:tc>
          <w:tcPr>
            <w:tcW w:type="dxa" w:w="2608"/>
          </w:tcPr>
          <w:p>
            <w:pPr>
              <w:spacing w:after="40" w:line="252" w:lineRule="auto"/>
            </w:pPr>
            <w:r>
              <w:rPr>
                <w:b/>
                <w:i w:val="0"/>
                <w:sz w:val="18"/>
              </w:rPr>
              <w:t>Sites and warehouses</w:t>
            </w:r>
          </w:p>
        </w:tc>
        <w:tc>
          <w:tcPr>
            <w:tcW w:type="dxa" w:w="7030"/>
          </w:tcPr>
          <w:p>
            <w:pPr>
              <w:spacing w:after="40" w:line="252" w:lineRule="auto"/>
            </w:pPr>
            <w:r>
              <w:rPr>
                <w:b w:val="0"/>
                <w:i w:val="0"/>
                <w:sz w:val="18"/>
                <w:shd w:val="clear" w:color="auto" w:fill="E3E3E3"/>
              </w:rPr>
              <w:t>[address, function of the site]</w:t>
            </w:r>
          </w:p>
        </w:tc>
      </w:tr>
      <w:tr>
        <w:tc>
          <w:tcPr>
            <w:tcW w:type="dxa" w:w="2608"/>
          </w:tcPr>
          <w:p>
            <w:pPr>
              <w:spacing w:after="40" w:line="252" w:lineRule="auto"/>
            </w:pPr>
            <w:r>
              <w:rPr>
                <w:b/>
                <w:i w:val="0"/>
                <w:sz w:val="18"/>
              </w:rPr>
              <w:t>Activities</w:t>
            </w:r>
          </w:p>
        </w:tc>
        <w:tc>
          <w:tcPr>
            <w:tcW w:type="dxa" w:w="7030"/>
          </w:tcPr>
          <w:p>
            <w:pPr>
              <w:spacing w:after="40" w:line="252" w:lineRule="auto"/>
            </w:pPr>
            <w:r>
              <w:rPr>
                <w:b w:val="0"/>
                <w:i w:val="0"/>
                <w:sz w:val="18"/>
                <w:shd w:val="clear" w:color="auto" w:fill="E3E3E3"/>
              </w:rPr>
              <w:t>[import, manufacturing, trade within the EU, export; yes or no for each]</w:t>
            </w:r>
          </w:p>
        </w:tc>
      </w:tr>
      <w:tr>
        <w:tc>
          <w:tcPr>
            <w:tcW w:type="dxa" w:w="2608"/>
          </w:tcPr>
          <w:p>
            <w:pPr>
              <w:spacing w:after="40" w:line="252" w:lineRule="auto"/>
            </w:pPr>
            <w:r>
              <w:rPr>
                <w:b/>
                <w:i w:val="0"/>
                <w:sz w:val="18"/>
              </w:rPr>
              <w:t>Products</w:t>
            </w:r>
          </w:p>
        </w:tc>
        <w:tc>
          <w:tcPr>
            <w:tcW w:type="dxa" w:w="7030"/>
          </w:tcPr>
          <w:p>
            <w:pPr>
              <w:spacing w:after="40" w:line="252" w:lineRule="auto"/>
            </w:pPr>
            <w:r>
              <w:rPr>
                <w:b w:val="0"/>
                <w:i w:val="0"/>
                <w:sz w:val="18"/>
                <w:shd w:val="clear" w:color="auto" w:fill="E3E3E3"/>
              </w:rPr>
              <w:t>[see Annex B: code under Annex I, description, commodity, sourcing route, applies from, listed in the Annex to the Timber Regulation yes or no]</w:t>
            </w:r>
          </w:p>
        </w:tc>
      </w:tr>
      <w:tr>
        <w:tc>
          <w:tcPr>
            <w:tcW w:type="dxa" w:w="2608"/>
          </w:tcPr>
          <w:p>
            <w:pPr>
              <w:spacing w:after="40" w:line="252" w:lineRule="auto"/>
            </w:pPr>
            <w:r>
              <w:rPr>
                <w:b/>
                <w:i w:val="0"/>
                <w:sz w:val="18"/>
              </w:rPr>
              <w:t>Exclusions</w:t>
            </w:r>
          </w:p>
        </w:tc>
        <w:tc>
          <w:tcPr>
            <w:tcW w:type="dxa" w:w="7030"/>
          </w:tcPr>
          <w:p>
            <w:pPr>
              <w:spacing w:after="40" w:line="252" w:lineRule="auto"/>
            </w:pPr>
            <w:r>
              <w:rPr>
                <w:b w:val="0"/>
                <w:i w:val="0"/>
                <w:sz w:val="18"/>
                <w:shd w:val="clear" w:color="auto" w:fill="E3E3E3"/>
              </w:rPr>
              <w:t>[product, reason, legal source]</w:t>
            </w:r>
          </w:p>
        </w:tc>
      </w:tr>
      <w:tr>
        <w:tc>
          <w:tcPr>
            <w:tcW w:type="dxa" w:w="2608"/>
          </w:tcPr>
          <w:p>
            <w:pPr>
              <w:spacing w:after="40" w:line="252" w:lineRule="auto"/>
            </w:pPr>
            <w:r>
              <w:rPr>
                <w:b/>
                <w:i w:val="0"/>
                <w:sz w:val="18"/>
              </w:rPr>
              <w:t>Company size</w:t>
            </w:r>
          </w:p>
        </w:tc>
        <w:tc>
          <w:tcPr>
            <w:tcW w:type="dxa" w:w="7030"/>
          </w:tcPr>
          <w:p>
            <w:pPr>
              <w:spacing w:after="40" w:line="252" w:lineRule="auto"/>
            </w:pPr>
            <w:r>
              <w:rPr>
                <w:b w:val="0"/>
                <w:i w:val="0"/>
                <w:sz w:val="18"/>
                <w:shd w:val="clear" w:color="auto" w:fill="E3E3E3"/>
              </w:rPr>
              <w:t>[financial year, balance sheet total, net turnover, average number of employees; result SME or non-SME; checked on, by]</w:t>
            </w:r>
          </w:p>
        </w:tc>
      </w:tr>
      <w:tr>
        <w:tc>
          <w:tcPr>
            <w:tcW w:type="dxa" w:w="2608"/>
          </w:tcPr>
          <w:p>
            <w:pPr>
              <w:spacing w:after="40" w:line="252" w:lineRule="auto"/>
            </w:pPr>
            <w:r>
              <w:rPr>
                <w:b/>
                <w:i w:val="0"/>
                <w:sz w:val="18"/>
              </w:rPr>
              <w:t>Previous year</w:t>
            </w:r>
          </w:p>
        </w:tc>
        <w:tc>
          <w:tcPr>
            <w:tcW w:type="dxa" w:w="7030"/>
          </w:tcPr>
          <w:p>
            <w:pPr>
              <w:spacing w:after="40" w:line="252" w:lineRule="auto"/>
            </w:pPr>
            <w:r>
              <w:rPr>
                <w:b w:val="0"/>
                <w:i w:val="0"/>
                <w:sz w:val="18"/>
                <w:shd w:val="clear" w:color="auto" w:fill="E3E3E3"/>
              </w:rPr>
              <w:t>[figures of the previous year; the size class changes only after two consecutive financial years]</w:t>
            </w:r>
          </w:p>
        </w:tc>
      </w:tr>
      <w:tr>
        <w:tc>
          <w:tcPr>
            <w:tcW w:type="dxa" w:w="2608"/>
          </w:tcPr>
          <w:p>
            <w:pPr>
              <w:spacing w:after="40" w:line="252" w:lineRule="auto"/>
            </w:pPr>
            <w:r>
              <w:rPr>
                <w:b/>
                <w:i w:val="0"/>
                <w:sz w:val="18"/>
              </w:rPr>
              <w:t>Date of application</w:t>
            </w:r>
          </w:p>
        </w:tc>
        <w:tc>
          <w:tcPr>
            <w:tcW w:type="dxa" w:w="7030"/>
          </w:tcPr>
          <w:p>
            <w:pPr>
              <w:spacing w:after="40" w:line="252" w:lineRule="auto"/>
            </w:pPr>
            <w:r>
              <w:rPr>
                <w:b w:val="0"/>
                <w:i w:val="0"/>
                <w:sz w:val="18"/>
                <w:shd w:val="clear" w:color="auto" w:fill="E3E3E3"/>
              </w:rPr>
              <w:t>[30 December 2026, 30 June 2027 or, for additions to Annex I, 30 December 2027; per product, with reasons]</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Annex I applies as amended by Delegated Regulation (EU) 2026/2102 (deletions since 18 September 2026, additions from 30 December 2027). Bamboo, rattan and other woody materials are not covered (Annex I, footnote 4; guidelines section 7(b), question 7). Size per company and financial year under Article 3(1) to (3) of Directive 2013/34/EU (Art. 2(30)); the size class only changes when two of the three thresholds are exceeded or no longer exceeded in two consecutive financial years (Commission FAQ 3.24); the figures of the individual legal entity count, not those of the group (FAQ 3.13). Date of application 30 December 2026; for micro and small undertakings established as such by 31 December 2024, 30 June 2027, except for timber products listed in the Annex to Regulation (EU) No 995/2010 (Art. 38(2) and (3)). Thresholds and roles: polygon-one.com/en/eudr-trader-or-operator-roles.</w:t>
            </w:r>
          </w:p>
        </w:tc>
      </w:tr>
    </w:tbl>
    <w:p>
      <w:pPr>
        <w:spacing w:after="40"/>
      </w:pPr>
    </w:p>
    <w:p>
      <w:r>
        <w:rPr>
          <w:b/>
          <w:sz w:val="18"/>
        </w:rPr>
        <w:t xml:space="preserve">Evidence in the file: </w:t>
      </w:r>
      <w:r>
        <w:rPr>
          <w:b w:val="0"/>
          <w:i w:val="0"/>
          <w:sz w:val="18"/>
        </w:rPr>
        <w:t xml:space="preserve">Product list with date (Annex B), size calculation with annual accounts; filed at: </w:t>
      </w:r>
      <w:r>
        <w:rPr>
          <w:b w:val="0"/>
          <w:i w:val="0"/>
          <w:sz w:val="18"/>
          <w:shd w:val="clear" w:color="auto" w:fill="E3E3E3"/>
        </w:rPr>
        <w:t>[location, document]</w:t>
      </w:r>
    </w:p>
    <w:p>
      <w:pPr>
        <w:pStyle w:val="Heading2"/>
      </w:pPr>
      <w:r>
        <w:t>Building block 2: Roles per sourcing route</w:t>
      </w:r>
    </w:p>
    <w:p>
      <w:r>
        <w:rPr>
          <w:b/>
          <w:sz w:val="18"/>
        </w:rPr>
        <w:t xml:space="preserve">Legal basis: </w:t>
      </w:r>
      <w:r>
        <w:rPr>
          <w:b w:val="0"/>
          <w:i w:val="0"/>
          <w:sz w:val="18"/>
        </w:rPr>
        <w:t>Art. 2(15), (15b) and (17), Arts. 4, 5, 7 and 13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Sourcing routes</w:t>
            </w:r>
          </w:p>
        </w:tc>
        <w:tc>
          <w:tcPr>
            <w:tcW w:type="dxa" w:w="7030"/>
          </w:tcPr>
          <w:p>
            <w:pPr>
              <w:spacing w:after="40" w:line="252" w:lineRule="auto"/>
            </w:pPr>
            <w:r>
              <w:rPr>
                <w:b w:val="0"/>
                <w:i w:val="0"/>
                <w:sz w:val="18"/>
                <w:shd w:val="clear" w:color="auto" w:fill="E3E3E3"/>
              </w:rPr>
              <w:t>[see Annex C: route, products, suppliers, country of production (for timber the country of harvest), country risk with date, role, scope of obligations, reasons]</w:t>
            </w:r>
          </w:p>
        </w:tc>
      </w:tr>
      <w:tr>
        <w:tc>
          <w:tcPr>
            <w:tcW w:type="dxa" w:w="2608"/>
          </w:tcPr>
          <w:p>
            <w:pPr>
              <w:spacing w:after="40" w:line="252" w:lineRule="auto"/>
            </w:pPr>
            <w:r>
              <w:rPr>
                <w:b/>
                <w:i w:val="0"/>
                <w:sz w:val="18"/>
              </w:rPr>
              <w:t>New sourcing routes</w:t>
            </w:r>
          </w:p>
        </w:tc>
        <w:tc>
          <w:tcPr>
            <w:tcW w:type="dxa" w:w="7030"/>
          </w:tcPr>
          <w:p>
            <w:pPr>
              <w:spacing w:after="40" w:line="252" w:lineRule="auto"/>
            </w:pPr>
            <w:r>
              <w:rPr>
                <w:b w:val="0"/>
                <w:i w:val="0"/>
                <w:sz w:val="18"/>
                <w:shd w:val="clear" w:color="auto" w:fill="E3E3E3"/>
              </w:rPr>
              <w:t>[who checks the role before the first order, who approves]</w:t>
            </w:r>
          </w:p>
        </w:tc>
      </w:tr>
      <w:tr>
        <w:tc>
          <w:tcPr>
            <w:tcW w:type="dxa" w:w="2608"/>
          </w:tcPr>
          <w:p>
            <w:pPr>
              <w:spacing w:after="40" w:line="252" w:lineRule="auto"/>
            </w:pPr>
            <w:r>
              <w:rPr>
                <w:b/>
                <w:i w:val="0"/>
                <w:sz w:val="18"/>
              </w:rPr>
              <w:t>Review of roles</w:t>
            </w:r>
          </w:p>
        </w:tc>
        <w:tc>
          <w:tcPr>
            <w:tcW w:type="dxa" w:w="7030"/>
          </w:tcPr>
          <w:p>
            <w:pPr>
              <w:spacing w:after="40" w:line="252" w:lineRule="auto"/>
            </w:pPr>
            <w:r>
              <w:rPr>
                <w:b w:val="0"/>
                <w:i w:val="0"/>
                <w:sz w:val="18"/>
                <w:shd w:val="clear" w:color="auto" w:fill="E3E3E3"/>
              </w:rPr>
              <w:t>[frequency, triggers]</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The role is determined per product and delivery (Art. 2(15), (15b) and (17)). Where a supplier established outside the EU places products on the market itself, the first person established in the EU who makes the products available is considered an operator (Art. 7). Article 12 applies only to routes on which you are the operator; routes as a trader or downstream operator go in Annex A. Simplified due diligence under Art. 13 only if all relevant products were produced in low-risk countries and the assessment of complexity and of the risk of circumvention and mixing supports it. Applying it per sourcing route is our interpretation (wording “relevant supply chain”). Check roles per product: polygon-one.com/en/eudr-check.</w:t>
            </w:r>
          </w:p>
        </w:tc>
      </w:tr>
    </w:tbl>
    <w:p>
      <w:pPr>
        <w:spacing w:after="40"/>
      </w:pPr>
    </w:p>
    <w:p>
      <w:r>
        <w:rPr>
          <w:b/>
          <w:sz w:val="18"/>
        </w:rPr>
        <w:t xml:space="preserve">Evidence in the file: </w:t>
      </w:r>
      <w:r>
        <w:rPr>
          <w:b w:val="0"/>
          <w:i w:val="0"/>
          <w:sz w:val="18"/>
        </w:rPr>
        <w:t xml:space="preserve">Role table with date (Annex C); filed at: </w:t>
      </w:r>
      <w:r>
        <w:rPr>
          <w:b w:val="0"/>
          <w:i w:val="0"/>
          <w:sz w:val="18"/>
          <w:shd w:val="clear" w:color="auto" w:fill="E3E3E3"/>
        </w:rPr>
        <w:t>[location, document]</w:t>
      </w:r>
    </w:p>
    <w:p>
      <w:pPr>
        <w:pStyle w:val="Heading2"/>
      </w:pPr>
      <w:r>
        <w:t>Building block 3: Accountability and responsibilities</w:t>
      </w:r>
    </w:p>
    <w:p>
      <w:r>
        <w:rPr>
          <w:b/>
          <w:sz w:val="18"/>
        </w:rPr>
        <w:t xml:space="preserve">Legal basis: </w:t>
      </w:r>
      <w:r>
        <w:rPr>
          <w:b w:val="0"/>
          <w:i w:val="0"/>
          <w:sz w:val="18"/>
        </w:rPr>
        <w:t>Art. 11(2), Art. 6; Art. 10(1) of Implementing Regulation (EU) 2024/3084 as amended by Implementing Regulation (EU)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Management</w:t>
            </w:r>
          </w:p>
        </w:tc>
        <w:tc>
          <w:tcPr>
            <w:tcW w:type="dxa" w:w="7030"/>
          </w:tcPr>
          <w:p>
            <w:pPr>
              <w:spacing w:after="40" w:line="252" w:lineRule="auto"/>
            </w:pPr>
            <w:r>
              <w:rPr>
                <w:b w:val="0"/>
                <w:i w:val="0"/>
                <w:sz w:val="18"/>
                <w:shd w:val="clear" w:color="auto" w:fill="E3E3E3"/>
              </w:rPr>
              <w:t>[name, function; overall responsibility, approval of the system]</w:t>
            </w:r>
          </w:p>
        </w:tc>
      </w:tr>
      <w:tr>
        <w:tc>
          <w:tcPr>
            <w:tcW w:type="dxa" w:w="2608"/>
          </w:tcPr>
          <w:p>
            <w:pPr>
              <w:spacing w:after="40" w:line="252" w:lineRule="auto"/>
            </w:pPr>
            <w:r>
              <w:rPr>
                <w:b/>
                <w:i w:val="0"/>
                <w:sz w:val="18"/>
              </w:rPr>
              <w:t>Compliance officer (non-SMEs only)</w:t>
            </w:r>
          </w:p>
        </w:tc>
        <w:tc>
          <w:tcPr>
            <w:tcW w:type="dxa" w:w="7030"/>
          </w:tcPr>
          <w:p>
            <w:pPr>
              <w:spacing w:after="40" w:line="252" w:lineRule="auto"/>
            </w:pPr>
            <w:r>
              <w:rPr>
                <w:b w:val="0"/>
                <w:i w:val="0"/>
                <w:sz w:val="18"/>
                <w:shd w:val="clear" w:color="auto" w:fill="E3E3E3"/>
              </w:rPr>
              <w:t>[name, function, evidence of management level, reporting line, authority to refuse a release, deputy, date of appointment]</w:t>
            </w:r>
          </w:p>
        </w:tc>
      </w:tr>
      <w:tr>
        <w:tc>
          <w:tcPr>
            <w:tcW w:type="dxa" w:w="2608"/>
          </w:tcPr>
          <w:p>
            <w:pPr>
              <w:spacing w:after="40" w:line="252" w:lineRule="auto"/>
            </w:pPr>
            <w:r>
              <w:rPr>
                <w:b/>
                <w:i w:val="0"/>
                <w:sz w:val="18"/>
              </w:rPr>
              <w:t>Process owners</w:t>
            </w:r>
          </w:p>
        </w:tc>
        <w:tc>
          <w:tcPr>
            <w:tcW w:type="dxa" w:w="7030"/>
          </w:tcPr>
          <w:p>
            <w:pPr>
              <w:spacing w:after="40" w:line="252" w:lineRule="auto"/>
            </w:pPr>
            <w:r>
              <w:rPr>
                <w:b w:val="0"/>
                <w:i w:val="0"/>
                <w:sz w:val="18"/>
                <w:shd w:val="clear" w:color="auto" w:fill="E3E3E3"/>
              </w:rPr>
              <w:t>[per building block: function and deputy]</w:t>
            </w:r>
          </w:p>
        </w:tc>
      </w:tr>
      <w:tr>
        <w:tc>
          <w:tcPr>
            <w:tcW w:type="dxa" w:w="2608"/>
          </w:tcPr>
          <w:p>
            <w:pPr>
              <w:spacing w:after="40" w:line="252" w:lineRule="auto"/>
            </w:pPr>
            <w:r>
              <w:rPr>
                <w:b/>
                <w:i w:val="0"/>
                <w:sz w:val="18"/>
              </w:rPr>
              <w:t>Responsibility matrix</w:t>
            </w:r>
          </w:p>
        </w:tc>
        <w:tc>
          <w:tcPr>
            <w:tcW w:type="dxa" w:w="7030"/>
          </w:tcPr>
          <w:p>
            <w:pPr>
              <w:spacing w:after="40" w:line="252" w:lineRule="auto"/>
            </w:pPr>
            <w:r>
              <w:rPr>
                <w:b w:val="0"/>
                <w:i w:val="0"/>
                <w:sz w:val="18"/>
                <w:shd w:val="clear" w:color="auto" w:fill="E3E3E3"/>
              </w:rPr>
              <w:t>[see Annex D]</w:t>
            </w:r>
          </w:p>
        </w:tc>
      </w:tr>
      <w:tr>
        <w:tc>
          <w:tcPr>
            <w:tcW w:type="dxa" w:w="2608"/>
          </w:tcPr>
          <w:p>
            <w:pPr>
              <w:spacing w:after="40" w:line="252" w:lineRule="auto"/>
            </w:pPr>
            <w:r>
              <w:rPr>
                <w:b/>
                <w:i w:val="0"/>
                <w:sz w:val="18"/>
              </w:rPr>
              <w:t>Information system</w:t>
            </w:r>
          </w:p>
        </w:tc>
        <w:tc>
          <w:tcPr>
            <w:tcW w:type="dxa" w:w="7030"/>
          </w:tcPr>
          <w:p>
            <w:pPr>
              <w:spacing w:after="40" w:line="252" w:lineRule="auto"/>
            </w:pPr>
            <w:r>
              <w:rPr>
                <w:b w:val="0"/>
                <w:i w:val="0"/>
                <w:sz w:val="18"/>
                <w:shd w:val="clear" w:color="auto" w:fill="E3E3E3"/>
              </w:rPr>
              <w:t>[users with the ADMIN role and deputy, users who submit, withdrawal of access when someone leaves]</w:t>
            </w:r>
          </w:p>
        </w:tc>
      </w:tr>
      <w:tr>
        <w:tc>
          <w:tcPr>
            <w:tcW w:type="dxa" w:w="2608"/>
          </w:tcPr>
          <w:p>
            <w:pPr>
              <w:spacing w:after="40" w:line="252" w:lineRule="auto"/>
            </w:pPr>
            <w:r>
              <w:rPr>
                <w:b/>
                <w:i w:val="0"/>
                <w:sz w:val="18"/>
              </w:rPr>
              <w:t>Authorised representative under Art. 6</w:t>
            </w:r>
          </w:p>
        </w:tc>
        <w:tc>
          <w:tcPr>
            <w:tcW w:type="dxa" w:w="7030"/>
          </w:tcPr>
          <w:p>
            <w:pPr>
              <w:spacing w:after="40" w:line="252" w:lineRule="auto"/>
            </w:pPr>
            <w:r>
              <w:rPr>
                <w:b w:val="0"/>
                <w:i w:val="0"/>
                <w:sz w:val="18"/>
                <w:shd w:val="clear" w:color="auto" w:fill="E3E3E3"/>
              </w:rPr>
              <w:t>[yes or no; name, mandate, how it is supervised]</w:t>
            </w:r>
          </w:p>
        </w:tc>
      </w:tr>
      <w:tr>
        <w:tc>
          <w:tcPr>
            <w:tcW w:type="dxa" w:w="2608"/>
          </w:tcPr>
          <w:p>
            <w:pPr>
              <w:spacing w:after="40" w:line="252" w:lineRule="auto"/>
            </w:pPr>
            <w:r>
              <w:rPr>
                <w:b/>
                <w:i w:val="0"/>
                <w:sz w:val="18"/>
              </w:rPr>
              <w:t>Service providers and tools</w:t>
            </w:r>
          </w:p>
        </w:tc>
        <w:tc>
          <w:tcPr>
            <w:tcW w:type="dxa" w:w="7030"/>
          </w:tcPr>
          <w:p>
            <w:pPr>
              <w:spacing w:after="40" w:line="252" w:lineRule="auto"/>
            </w:pPr>
            <w:r>
              <w:rPr>
                <w:b w:val="0"/>
                <w:i w:val="0"/>
                <w:sz w:val="18"/>
                <w:shd w:val="clear" w:color="auto" w:fill="E3E3E3"/>
              </w:rPr>
              <w:t>[name, task, contract, methodology description available yes or no, who evaluates the results]</w:t>
            </w:r>
          </w:p>
        </w:tc>
      </w:tr>
      <w:tr>
        <w:tc>
          <w:tcPr>
            <w:tcW w:type="dxa" w:w="2608"/>
          </w:tcPr>
          <w:p>
            <w:pPr>
              <w:spacing w:after="40" w:line="252" w:lineRule="auto"/>
            </w:pPr>
            <w:r>
              <w:rPr>
                <w:b/>
                <w:i w:val="0"/>
                <w:sz w:val="18"/>
              </w:rPr>
              <w:t>Training</w:t>
            </w:r>
          </w:p>
        </w:tc>
        <w:tc>
          <w:tcPr>
            <w:tcW w:type="dxa" w:w="7030"/>
          </w:tcPr>
          <w:p>
            <w:pPr>
              <w:spacing w:after="40" w:line="252" w:lineRule="auto"/>
            </w:pPr>
            <w:r>
              <w:rPr>
                <w:b w:val="0"/>
                <w:i w:val="0"/>
                <w:sz w:val="18"/>
                <w:shd w:val="clear" w:color="auto" w:fill="E3E3E3"/>
              </w:rPr>
              <w:t>[target groups, content, frequency; record in Annex H]</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Art. 11(2) requires adequate and proportionate policies, controls and procedures from all operators, and the compliance officer “at management level” only from non-SMEs (point (a)). What “management level” means is regulated neither by the Regulation nor by the guidelines or the FAQ. Suggestion of this template (our interpretation): a member of management or a manager reporting directly to management, appointed in writing, with a deputy and the right to refuse a release. The Dutch inspection authority NVWA asks in its checks whether someone has been appointed and whether management is involved. One account, several roles in the information system; user guide v3.0 recommends more than one ADMIN per account (section 1.7). The BLE expects you to know the methodology of your tools and to hold the sources yourself (slide 7 of 24 September 2026). An authorised representative only submits; responsibility remains with the operator (Art. 6).</w:t>
            </w:r>
          </w:p>
        </w:tc>
      </w:tr>
    </w:tbl>
    <w:p>
      <w:pPr>
        <w:spacing w:after="40"/>
      </w:pPr>
    </w:p>
    <w:p>
      <w:r>
        <w:rPr>
          <w:b/>
          <w:sz w:val="18"/>
        </w:rPr>
        <w:t xml:space="preserve">Evidence in the file: </w:t>
      </w:r>
      <w:r>
        <w:rPr>
          <w:b w:val="0"/>
          <w:i w:val="0"/>
          <w:sz w:val="18"/>
        </w:rPr>
        <w:t xml:space="preserve">Letter of appointment, responsibility matrix (Annex D), training record (Annex H), contracts with service providers; filed at: </w:t>
      </w:r>
      <w:r>
        <w:rPr>
          <w:b w:val="0"/>
          <w:i w:val="0"/>
          <w:sz w:val="18"/>
          <w:shd w:val="clear" w:color="auto" w:fill="E3E3E3"/>
        </w:rPr>
        <w:t>[location, document]</w:t>
      </w:r>
    </w:p>
    <w:p>
      <w:pPr>
        <w:pStyle w:val="Heading1"/>
      </w:pPr>
      <w:r>
        <w:t>Part B: Process per delivery</w:t>
      </w:r>
    </w:p>
    <w:p>
      <w:pPr>
        <w:pStyle w:val="Heading2"/>
      </w:pPr>
      <w:r>
        <w:t>Building block 4: Information collection</w:t>
      </w:r>
    </w:p>
    <w:p>
      <w:r>
        <w:rPr>
          <w:b/>
          <w:sz w:val="18"/>
        </w:rPr>
        <w:t xml:space="preserve">Legal basis: </w:t>
      </w:r>
      <w:r>
        <w:rPr>
          <w:b w:val="0"/>
          <w:i w:val="0"/>
          <w:sz w:val="18"/>
        </w:rPr>
        <w:t>Art. 9(1)(a) to (h), Art. 2(28) and (40), Art. 10(3)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Checklist under Art. 9(1)</w:t>
            </w:r>
          </w:p>
        </w:tc>
        <w:tc>
          <w:tcPr>
            <w:tcW w:type="dxa" w:w="7030"/>
          </w:tcPr>
          <w:p>
            <w:pPr>
              <w:spacing w:after="40" w:line="252" w:lineRule="auto"/>
            </w:pPr>
            <w:r>
              <w:rPr>
                <w:b w:val="0"/>
                <w:i w:val="0"/>
                <w:sz w:val="18"/>
                <w:shd w:val="clear" w:color="auto" w:fill="E3E3E3"/>
              </w:rPr>
              <w:t>[for each point (a) to (h): source of the information, responsible]</w:t>
            </w:r>
          </w:p>
        </w:tc>
      </w:tr>
      <w:tr>
        <w:tc>
          <w:tcPr>
            <w:tcW w:type="dxa" w:w="2608"/>
          </w:tcPr>
          <w:p>
            <w:pPr>
              <w:spacing w:after="40" w:line="252" w:lineRule="auto"/>
            </w:pPr>
            <w:r>
              <w:rPr>
                <w:b/>
                <w:i w:val="0"/>
                <w:sz w:val="18"/>
              </w:rPr>
              <w:t>Supplier request</w:t>
            </w:r>
          </w:p>
        </w:tc>
        <w:tc>
          <w:tcPr>
            <w:tcW w:type="dxa" w:w="7030"/>
          </w:tcPr>
          <w:p>
            <w:pPr>
              <w:spacing w:after="40" w:line="252" w:lineRule="auto"/>
            </w:pPr>
            <w:r>
              <w:rPr>
                <w:b w:val="0"/>
                <w:i w:val="0"/>
                <w:sz w:val="18"/>
                <w:shd w:val="clear" w:color="auto" w:fill="E3E3E3"/>
              </w:rPr>
              <w:t>[template, deadline, reminder, escalation, supplier portal]</w:t>
            </w:r>
          </w:p>
        </w:tc>
      </w:tr>
      <w:tr>
        <w:tc>
          <w:tcPr>
            <w:tcW w:type="dxa" w:w="2608"/>
          </w:tcPr>
          <w:p>
            <w:pPr>
              <w:spacing w:after="40" w:line="252" w:lineRule="auto"/>
            </w:pPr>
            <w:r>
              <w:rPr>
                <w:b/>
                <w:i w:val="0"/>
                <w:sz w:val="18"/>
              </w:rPr>
              <w:t>Geolocation</w:t>
            </w:r>
          </w:p>
        </w:tc>
        <w:tc>
          <w:tcPr>
            <w:tcW w:type="dxa" w:w="7030"/>
          </w:tcPr>
          <w:p>
            <w:pPr>
              <w:spacing w:after="40" w:line="252" w:lineRule="auto"/>
            </w:pPr>
            <w:r>
              <w:rPr>
                <w:b w:val="0"/>
                <w:i w:val="0"/>
                <w:sz w:val="18"/>
                <w:shd w:val="clear" w:color="auto" w:fill="E3E3E3"/>
              </w:rPr>
              <w:t>[format, coordinate system, at least six decimal places, polygon for plots of more than four hectares except cattle, check before use, who checks]</w:t>
            </w:r>
          </w:p>
        </w:tc>
      </w:tr>
      <w:tr>
        <w:tc>
          <w:tcPr>
            <w:tcW w:type="dxa" w:w="2608"/>
          </w:tcPr>
          <w:p>
            <w:pPr>
              <w:spacing w:after="40" w:line="252" w:lineRule="auto"/>
            </w:pPr>
            <w:r>
              <w:rPr>
                <w:b/>
                <w:i w:val="0"/>
                <w:sz w:val="18"/>
              </w:rPr>
              <w:t>Tree species</w:t>
            </w:r>
          </w:p>
        </w:tc>
        <w:tc>
          <w:tcPr>
            <w:tcW w:type="dxa" w:w="7030"/>
          </w:tcPr>
          <w:p>
            <w:pPr>
              <w:spacing w:after="40" w:line="252" w:lineRule="auto"/>
            </w:pPr>
            <w:r>
              <w:rPr>
                <w:b w:val="0"/>
                <w:i w:val="0"/>
                <w:sz w:val="18"/>
                <w:shd w:val="clear" w:color="auto" w:fill="E3E3E3"/>
              </w:rPr>
              <w:t>[common and full scientific name per component]</w:t>
            </w:r>
          </w:p>
        </w:tc>
      </w:tr>
      <w:tr>
        <w:tc>
          <w:tcPr>
            <w:tcW w:type="dxa" w:w="2608"/>
          </w:tcPr>
          <w:p>
            <w:pPr>
              <w:spacing w:after="40" w:line="252" w:lineRule="auto"/>
            </w:pPr>
            <w:r>
              <w:rPr>
                <w:b/>
                <w:i w:val="0"/>
                <w:sz w:val="18"/>
              </w:rPr>
              <w:t>Legality</w:t>
            </w:r>
          </w:p>
        </w:tc>
        <w:tc>
          <w:tcPr>
            <w:tcW w:type="dxa" w:w="7030"/>
          </w:tcPr>
          <w:p>
            <w:pPr>
              <w:spacing w:after="40" w:line="252" w:lineRule="auto"/>
            </w:pPr>
            <w:r>
              <w:rPr>
                <w:b w:val="0"/>
                <w:i w:val="0"/>
                <w:sz w:val="18"/>
                <w:shd w:val="clear" w:color="auto" w:fill="E3E3E3"/>
              </w:rPr>
              <w:t>[areas of law checked under Art. 2(40), extent according to risk, evidence, FLEGT licence yes or no, how checked, by whom]</w:t>
            </w:r>
          </w:p>
        </w:tc>
      </w:tr>
      <w:tr>
        <w:tc>
          <w:tcPr>
            <w:tcW w:type="dxa" w:w="2608"/>
          </w:tcPr>
          <w:p>
            <w:pPr>
              <w:spacing w:after="40" w:line="252" w:lineRule="auto"/>
            </w:pPr>
            <w:r>
              <w:rPr>
                <w:b/>
                <w:i w:val="0"/>
                <w:sz w:val="18"/>
              </w:rPr>
              <w:t>Completeness</w:t>
            </w:r>
          </w:p>
        </w:tc>
        <w:tc>
          <w:tcPr>
            <w:tcW w:type="dxa" w:w="7030"/>
          </w:tcPr>
          <w:p>
            <w:pPr>
              <w:spacing w:after="40" w:line="252" w:lineRule="auto"/>
            </w:pPr>
            <w:r>
              <w:rPr>
                <w:b w:val="0"/>
                <w:i w:val="0"/>
                <w:sz w:val="18"/>
                <w:shd w:val="clear" w:color="auto" w:fill="E3E3E3"/>
              </w:rPr>
              <w:t>[criterion, who checks, when]</w:t>
            </w:r>
          </w:p>
        </w:tc>
      </w:tr>
      <w:tr>
        <w:tc>
          <w:tcPr>
            <w:tcW w:type="dxa" w:w="2608"/>
          </w:tcPr>
          <w:p>
            <w:pPr>
              <w:spacing w:after="40" w:line="252" w:lineRule="auto"/>
            </w:pPr>
            <w:r>
              <w:rPr>
                <w:b/>
                <w:i w:val="0"/>
                <w:sz w:val="18"/>
              </w:rPr>
              <w:t>Handling gaps</w:t>
            </w:r>
          </w:p>
        </w:tc>
        <w:tc>
          <w:tcPr>
            <w:tcW w:type="dxa" w:w="7030"/>
          </w:tcPr>
          <w:p>
            <w:pPr>
              <w:spacing w:after="40" w:line="252" w:lineRule="auto"/>
            </w:pPr>
            <w:r>
              <w:rPr>
                <w:b w:val="0"/>
                <w:i w:val="0"/>
                <w:sz w:val="18"/>
                <w:shd w:val="clear" w:color="auto" w:fill="E3E3E3"/>
              </w:rPr>
              <w:t>[no release; escalation; deadline]</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Without the information under Art. 9 there is no placing on the market (Commission FAQ 5.1). Geolocation according to the Commission's GeoJSON description and validation rules; on the minimum area, user guide v3.0 (0.1 hectares) and the validation rules (0.0001 hectares) contradict each other. Not having found a violation is not enough for the BLE as evidence of legality; it expects an active, traceable check (slide 21 of 24 September 2026). The guidelines set the extent of evidence on a risk basis; with a negligible initial risk no exhaustive list of laws is needed (section 6(b)). A valid FLEGT licence counts as evidence of legality, not of deforestation-free status (Art. 10(3)). Aids: polygon-one.com/en/eudr-supplier-questionnaire-template, /en/eudr-geodata-suppliers and /en/eudr-geojson-checker.</w:t>
            </w:r>
          </w:p>
        </w:tc>
      </w:tr>
    </w:tbl>
    <w:p>
      <w:pPr>
        <w:spacing w:after="40"/>
      </w:pPr>
    </w:p>
    <w:p>
      <w:r>
        <w:rPr>
          <w:b/>
          <w:sz w:val="18"/>
        </w:rPr>
        <w:t xml:space="preserve">Evidence in the file: </w:t>
      </w:r>
      <w:r>
        <w:rPr>
          <w:b w:val="0"/>
          <w:i w:val="0"/>
          <w:sz w:val="18"/>
        </w:rPr>
        <w:t xml:space="preserve">Supplier file, geodata file with check record, legality evidence with check note; filed at: </w:t>
      </w:r>
      <w:r>
        <w:rPr>
          <w:b w:val="0"/>
          <w:i w:val="0"/>
          <w:sz w:val="18"/>
          <w:shd w:val="clear" w:color="auto" w:fill="E3E3E3"/>
        </w:rPr>
        <w:t>[location, document]</w:t>
      </w:r>
    </w:p>
    <w:p>
      <w:pPr>
        <w:pStyle w:val="Heading2"/>
      </w:pPr>
      <w:r>
        <w:t>Building block 5: Risk assessment and simplified due diligence</w:t>
      </w:r>
    </w:p>
    <w:p>
      <w:r>
        <w:rPr>
          <w:b/>
          <w:sz w:val="18"/>
        </w:rPr>
        <w:t xml:space="preserve">Legal basis: </w:t>
      </w:r>
      <w:r>
        <w:rPr>
          <w:b w:val="0"/>
          <w:i w:val="0"/>
          <w:sz w:val="18"/>
        </w:rPr>
        <w:t>Arts. 10 and 13, Art. 29 with Implementing Regulation (EU) 2025/1093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Unit of assessment</w:t>
            </w:r>
          </w:p>
        </w:tc>
        <w:tc>
          <w:tcPr>
            <w:tcW w:type="dxa" w:w="7030"/>
          </w:tcPr>
          <w:p>
            <w:pPr>
              <w:spacing w:after="40" w:line="252" w:lineRule="auto"/>
            </w:pPr>
            <w:r>
              <w:rPr>
                <w:b w:val="0"/>
                <w:i w:val="0"/>
                <w:sz w:val="18"/>
                <w:shd w:val="clear" w:color="auto" w:fill="E3E3E3"/>
              </w:rPr>
              <w:t>[per product and supply chain; for several sources per source]</w:t>
            </w:r>
          </w:p>
        </w:tc>
      </w:tr>
      <w:tr>
        <w:tc>
          <w:tcPr>
            <w:tcW w:type="dxa" w:w="2608"/>
          </w:tcPr>
          <w:p>
            <w:pPr>
              <w:spacing w:after="40" w:line="252" w:lineRule="auto"/>
            </w:pPr>
            <w:r>
              <w:rPr>
                <w:b/>
                <w:i w:val="0"/>
                <w:sz w:val="18"/>
              </w:rPr>
              <w:t>Criteria</w:t>
            </w:r>
          </w:p>
        </w:tc>
        <w:tc>
          <w:tcPr>
            <w:tcW w:type="dxa" w:w="7030"/>
          </w:tcPr>
          <w:p>
            <w:pPr>
              <w:spacing w:after="40" w:line="252" w:lineRule="auto"/>
            </w:pPr>
            <w:r>
              <w:rPr>
                <w:b w:val="0"/>
                <w:i w:val="0"/>
                <w:sz w:val="18"/>
                <w:shd w:val="clear" w:color="auto" w:fill="E3E3E3"/>
              </w:rPr>
              <w:t>[Art. 10(2)(a) to (n) with check question and source; worksheet]</w:t>
            </w:r>
          </w:p>
        </w:tc>
      </w:tr>
      <w:tr>
        <w:tc>
          <w:tcPr>
            <w:tcW w:type="dxa" w:w="2608"/>
          </w:tcPr>
          <w:p>
            <w:pPr>
              <w:spacing w:after="40" w:line="252" w:lineRule="auto"/>
            </w:pPr>
            <w:r>
              <w:rPr>
                <w:b/>
                <w:i w:val="0"/>
                <w:sz w:val="18"/>
              </w:rPr>
              <w:t>Rating</w:t>
            </w:r>
          </w:p>
        </w:tc>
        <w:tc>
          <w:tcPr>
            <w:tcW w:type="dxa" w:w="7030"/>
          </w:tcPr>
          <w:p>
            <w:pPr>
              <w:spacing w:after="40" w:line="252" w:lineRule="auto"/>
            </w:pPr>
            <w:r>
              <w:rPr>
                <w:b w:val="0"/>
                <w:i w:val="0"/>
                <w:sz w:val="18"/>
                <w:shd w:val="clear" w:color="auto" w:fill="E3E3E3"/>
              </w:rPr>
              <w:t>[negligible, non-negligible, not applicable; reasons per criterion]</w:t>
            </w:r>
          </w:p>
        </w:tc>
      </w:tr>
      <w:tr>
        <w:tc>
          <w:tcPr>
            <w:tcW w:type="dxa" w:w="2608"/>
          </w:tcPr>
          <w:p>
            <w:pPr>
              <w:spacing w:after="40" w:line="252" w:lineRule="auto"/>
            </w:pPr>
            <w:r>
              <w:rPr>
                <w:b/>
                <w:i w:val="0"/>
                <w:sz w:val="18"/>
              </w:rPr>
              <w:t>Overall rule</w:t>
            </w:r>
          </w:p>
        </w:tc>
        <w:tc>
          <w:tcPr>
            <w:tcW w:type="dxa" w:w="7030"/>
          </w:tcPr>
          <w:p>
            <w:pPr>
              <w:spacing w:after="40" w:line="252" w:lineRule="auto"/>
            </w:pPr>
            <w:r>
              <w:rPr>
                <w:b w:val="0"/>
                <w:i w:val="0"/>
                <w:sz w:val="18"/>
                <w:shd w:val="clear" w:color="auto" w:fill="E3E3E3"/>
              </w:rPr>
              <w:t>[if one criterion is non-negligible, the result is non-negligible]</w:t>
            </w:r>
          </w:p>
        </w:tc>
      </w:tr>
      <w:tr>
        <w:tc>
          <w:tcPr>
            <w:tcW w:type="dxa" w:w="2608"/>
          </w:tcPr>
          <w:p>
            <w:pPr>
              <w:spacing w:after="40" w:line="252" w:lineRule="auto"/>
            </w:pPr>
            <w:r>
              <w:rPr>
                <w:b/>
                <w:i w:val="0"/>
                <w:sz w:val="18"/>
              </w:rPr>
              <w:t>Country risk</w:t>
            </w:r>
          </w:p>
        </w:tc>
        <w:tc>
          <w:tcPr>
            <w:tcW w:type="dxa" w:w="7030"/>
          </w:tcPr>
          <w:p>
            <w:pPr>
              <w:spacing w:after="40" w:line="252" w:lineRule="auto"/>
            </w:pPr>
            <w:r>
              <w:rPr>
                <w:b w:val="0"/>
                <w:i w:val="0"/>
                <w:sz w:val="18"/>
                <w:shd w:val="clear" w:color="auto" w:fill="E3E3E3"/>
              </w:rPr>
              <w:t>[legal act and date of the list]</w:t>
            </w:r>
          </w:p>
        </w:tc>
      </w:tr>
      <w:tr>
        <w:tc>
          <w:tcPr>
            <w:tcW w:type="dxa" w:w="2608"/>
          </w:tcPr>
          <w:p>
            <w:pPr>
              <w:spacing w:after="40" w:line="252" w:lineRule="auto"/>
            </w:pPr>
            <w:r>
              <w:rPr>
                <w:b/>
                <w:i w:val="0"/>
                <w:sz w:val="18"/>
              </w:rPr>
              <w:t>Tools</w:t>
            </w:r>
          </w:p>
        </w:tc>
        <w:tc>
          <w:tcPr>
            <w:tcW w:type="dxa" w:w="7030"/>
          </w:tcPr>
          <w:p>
            <w:pPr>
              <w:spacing w:after="40" w:line="252" w:lineRule="auto"/>
            </w:pPr>
            <w:r>
              <w:rPr>
                <w:b w:val="0"/>
                <w:i w:val="0"/>
                <w:sz w:val="18"/>
                <w:shd w:val="clear" w:color="auto" w:fill="E3E3E3"/>
              </w:rPr>
              <w:t>[what they deliver, where the methodology description is kept, who evaluates the results]</w:t>
            </w:r>
          </w:p>
        </w:tc>
      </w:tr>
      <w:tr>
        <w:tc>
          <w:tcPr>
            <w:tcW w:type="dxa" w:w="2608"/>
          </w:tcPr>
          <w:p>
            <w:pPr>
              <w:spacing w:after="40" w:line="252" w:lineRule="auto"/>
            </w:pPr>
            <w:r>
              <w:rPr>
                <w:b/>
                <w:i w:val="0"/>
                <w:sz w:val="18"/>
              </w:rPr>
              <w:t>Article 13 route</w:t>
            </w:r>
          </w:p>
        </w:tc>
        <w:tc>
          <w:tcPr>
            <w:tcW w:type="dxa" w:w="7030"/>
          </w:tcPr>
          <w:p>
            <w:pPr>
              <w:spacing w:after="40" w:line="252" w:lineRule="auto"/>
            </w:pPr>
            <w:r>
              <w:rPr>
                <w:b w:val="0"/>
                <w:i w:val="0"/>
                <w:sz w:val="18"/>
                <w:shd w:val="clear" w:color="auto" w:fill="E3E3E3"/>
              </w:rPr>
              <w:t>[complexity, risk of circumvention and mixing per supply chain, reasons, records; return under Art. 13(2)]</w:t>
            </w:r>
          </w:p>
        </w:tc>
      </w:tr>
      <w:tr>
        <w:tc>
          <w:tcPr>
            <w:tcW w:type="dxa" w:w="2608"/>
          </w:tcPr>
          <w:p>
            <w:pPr>
              <w:spacing w:after="40" w:line="252" w:lineRule="auto"/>
            </w:pPr>
            <w:r>
              <w:rPr>
                <w:b/>
                <w:i w:val="0"/>
                <w:sz w:val="18"/>
              </w:rPr>
              <w:t>Review</w:t>
            </w:r>
          </w:p>
        </w:tc>
        <w:tc>
          <w:tcPr>
            <w:tcW w:type="dxa" w:w="7030"/>
          </w:tcPr>
          <w:p>
            <w:pPr>
              <w:spacing w:after="40" w:line="252" w:lineRule="auto"/>
            </w:pPr>
            <w:r>
              <w:rPr>
                <w:b w:val="0"/>
                <w:i w:val="0"/>
                <w:sz w:val="18"/>
                <w:shd w:val="clear" w:color="auto" w:fill="E3E3E3"/>
              </w:rPr>
              <w:t>[at least once a year; triggers]</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Tailor the criteria to your own products; information collection, assessment and mitigation must be causally related; with several sources assess the risk per source (guidelines section 4(a)). One non-negligible criterion is enough (section 4(b)). A score without reasons is not enough for the BLE (slide 30); under Art. 13 too, information collection stays complete (slides 26 and 27). For timber, the country where the tree was felled counts. Document the assessment and review it at least once a year (Art. 10(4)). Worksheet with all 14 criteria: polygon-one.com/en/eudr-risk-assessment-template.</w:t>
            </w:r>
          </w:p>
        </w:tc>
      </w:tr>
    </w:tbl>
    <w:p>
      <w:pPr>
        <w:spacing w:after="40"/>
      </w:pPr>
    </w:p>
    <w:p>
      <w:r>
        <w:rPr>
          <w:b/>
          <w:sz w:val="18"/>
        </w:rPr>
        <w:t xml:space="preserve">Evidence in the file: </w:t>
      </w:r>
      <w:r>
        <w:rPr>
          <w:b w:val="0"/>
          <w:i w:val="0"/>
          <w:sz w:val="18"/>
        </w:rPr>
        <w:t xml:space="preserve">Assessment sheet per product and origin with date, author and approval; filed at: </w:t>
      </w:r>
      <w:r>
        <w:rPr>
          <w:b w:val="0"/>
          <w:i w:val="0"/>
          <w:sz w:val="18"/>
          <w:shd w:val="clear" w:color="auto" w:fill="E3E3E3"/>
        </w:rPr>
        <w:t>[location, document]</w:t>
      </w:r>
    </w:p>
    <w:p>
      <w:pPr>
        <w:pStyle w:val="Heading2"/>
      </w:pPr>
      <w:r>
        <w:t>Building block 6: Risk mitigation</w:t>
      </w:r>
    </w:p>
    <w:p>
      <w:r>
        <w:rPr>
          <w:b/>
          <w:sz w:val="18"/>
        </w:rPr>
        <w:t xml:space="preserve">Legal basis: </w:t>
      </w:r>
      <w:r>
        <w:rPr>
          <w:b w:val="0"/>
          <w:i w:val="0"/>
          <w:sz w:val="18"/>
        </w:rPr>
        <w:t>Art. 11(1) and (3), Art. 4(4)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Measures catalogue</w:t>
            </w:r>
          </w:p>
        </w:tc>
        <w:tc>
          <w:tcPr>
            <w:tcW w:type="dxa" w:w="7030"/>
          </w:tcPr>
          <w:p>
            <w:pPr>
              <w:spacing w:after="40" w:line="252" w:lineRule="auto"/>
            </w:pPr>
            <w:r>
              <w:rPr>
                <w:b w:val="0"/>
                <w:i w:val="0"/>
                <w:sz w:val="18"/>
                <w:shd w:val="clear" w:color="auto" w:fill="E3E3E3"/>
              </w:rPr>
              <w:t>[see Annex E: additional information, independent surveys or audits, other measures relating to Art. 9, support for suppliers]</w:t>
            </w:r>
          </w:p>
        </w:tc>
      </w:tr>
      <w:tr>
        <w:tc>
          <w:tcPr>
            <w:tcW w:type="dxa" w:w="2608"/>
          </w:tcPr>
          <w:p>
            <w:pPr>
              <w:spacing w:after="40" w:line="252" w:lineRule="auto"/>
            </w:pPr>
            <w:r>
              <w:rPr>
                <w:b/>
                <w:i w:val="0"/>
                <w:sz w:val="18"/>
              </w:rPr>
              <w:t>Decision</w:t>
            </w:r>
          </w:p>
        </w:tc>
        <w:tc>
          <w:tcPr>
            <w:tcW w:type="dxa" w:w="7030"/>
          </w:tcPr>
          <w:p>
            <w:pPr>
              <w:spacing w:after="40" w:line="252" w:lineRule="auto"/>
            </w:pPr>
            <w:r>
              <w:rPr>
                <w:b w:val="0"/>
                <w:i w:val="0"/>
                <w:sz w:val="18"/>
                <w:shd w:val="clear" w:color="auto" w:fill="E3E3E3"/>
              </w:rPr>
              <w:t>[who decides, four-eyes principle]</w:t>
            </w:r>
          </w:p>
        </w:tc>
      </w:tr>
      <w:tr>
        <w:tc>
          <w:tcPr>
            <w:tcW w:type="dxa" w:w="2608"/>
          </w:tcPr>
          <w:p>
            <w:pPr>
              <w:spacing w:after="40" w:line="252" w:lineRule="auto"/>
            </w:pPr>
            <w:r>
              <w:rPr>
                <w:b/>
                <w:i w:val="0"/>
                <w:sz w:val="18"/>
              </w:rPr>
              <w:t>Reassessment</w:t>
            </w:r>
          </w:p>
        </w:tc>
        <w:tc>
          <w:tcPr>
            <w:tcW w:type="dxa" w:w="7030"/>
          </w:tcPr>
          <w:p>
            <w:pPr>
              <w:spacing w:after="40" w:line="252" w:lineRule="auto"/>
            </w:pPr>
            <w:r>
              <w:rPr>
                <w:b w:val="0"/>
                <w:i w:val="0"/>
                <w:sz w:val="18"/>
                <w:shd w:val="clear" w:color="auto" w:fill="E3E3E3"/>
              </w:rPr>
              <w:t>[after each measure: who, when]</w:t>
            </w:r>
          </w:p>
        </w:tc>
      </w:tr>
      <w:tr>
        <w:tc>
          <w:tcPr>
            <w:tcW w:type="dxa" w:w="2608"/>
          </w:tcPr>
          <w:p>
            <w:pPr>
              <w:spacing w:after="40" w:line="252" w:lineRule="auto"/>
            </w:pPr>
            <w:r>
              <w:rPr>
                <w:b/>
                <w:i w:val="0"/>
                <w:sz w:val="18"/>
              </w:rPr>
              <w:t>Termination and block</w:t>
            </w:r>
          </w:p>
        </w:tc>
        <w:tc>
          <w:tcPr>
            <w:tcW w:type="dxa" w:w="7030"/>
          </w:tcPr>
          <w:p>
            <w:pPr>
              <w:spacing w:after="40" w:line="252" w:lineRule="auto"/>
            </w:pPr>
            <w:r>
              <w:rPr>
                <w:b w:val="0"/>
                <w:i w:val="0"/>
                <w:sz w:val="18"/>
                <w:shd w:val="clear" w:color="auto" w:fill="E3E3E3"/>
              </w:rPr>
              <w:t>[when, who, resumption]</w:t>
            </w:r>
          </w:p>
        </w:tc>
      </w:tr>
      <w:tr>
        <w:tc>
          <w:tcPr>
            <w:tcW w:type="dxa" w:w="2608"/>
          </w:tcPr>
          <w:p>
            <w:pPr>
              <w:spacing w:after="40" w:line="252" w:lineRule="auto"/>
            </w:pPr>
            <w:r>
              <w:rPr>
                <w:b/>
                <w:i w:val="0"/>
                <w:sz w:val="18"/>
              </w:rPr>
              <w:t>Mixing at processing sites</w:t>
            </w:r>
          </w:p>
        </w:tc>
        <w:tc>
          <w:tcPr>
            <w:tcW w:type="dxa" w:w="7030"/>
          </w:tcPr>
          <w:p>
            <w:pPr>
              <w:spacing w:after="40" w:line="252" w:lineRule="auto"/>
            </w:pPr>
            <w:r>
              <w:rPr>
                <w:b w:val="0"/>
                <w:i w:val="0"/>
                <w:sz w:val="18"/>
                <w:shd w:val="clear" w:color="auto" w:fill="E3E3E3"/>
              </w:rPr>
              <w:t>[input-output overview, separate lines, mass balance]</w:t>
            </w:r>
          </w:p>
        </w:tc>
      </w:tr>
      <w:tr>
        <w:tc>
          <w:tcPr>
            <w:tcW w:type="dxa" w:w="2608"/>
          </w:tcPr>
          <w:p>
            <w:pPr>
              <w:spacing w:after="40" w:line="252" w:lineRule="auto"/>
            </w:pPr>
            <w:r>
              <w:rPr>
                <w:b/>
                <w:i w:val="0"/>
                <w:sz w:val="18"/>
              </w:rPr>
              <w:t>Documentation</w:t>
            </w:r>
          </w:p>
        </w:tc>
        <w:tc>
          <w:tcPr>
            <w:tcW w:type="dxa" w:w="7030"/>
          </w:tcPr>
          <w:p>
            <w:pPr>
              <w:spacing w:after="40" w:line="252" w:lineRule="auto"/>
            </w:pPr>
            <w:r>
              <w:rPr>
                <w:b w:val="0"/>
                <w:i w:val="0"/>
                <w:sz w:val="18"/>
                <w:shd w:val="clear" w:color="auto" w:fill="E3E3E3"/>
              </w:rPr>
              <w:t>[finding, measure, evidence, result, decision maker, date]</w:t>
            </w:r>
          </w:p>
        </w:tc>
      </w:tr>
      <w:tr>
        <w:tc>
          <w:tcPr>
            <w:tcW w:type="dxa" w:w="2608"/>
          </w:tcPr>
          <w:p>
            <w:pPr>
              <w:spacing w:after="40" w:line="252" w:lineRule="auto"/>
            </w:pPr>
            <w:r>
              <w:rPr>
                <w:b/>
                <w:i w:val="0"/>
                <w:sz w:val="18"/>
              </w:rPr>
              <w:t>Review</w:t>
            </w:r>
          </w:p>
        </w:tc>
        <w:tc>
          <w:tcPr>
            <w:tcW w:type="dxa" w:w="7030"/>
          </w:tcPr>
          <w:p>
            <w:pPr>
              <w:spacing w:after="40" w:line="252" w:lineRule="auto"/>
            </w:pPr>
            <w:r>
              <w:rPr>
                <w:b w:val="0"/>
                <w:i w:val="0"/>
                <w:sz w:val="18"/>
                <w:shd w:val="clear" w:color="auto" w:fill="E3E3E3"/>
              </w:rPr>
              <w:t>[at least once a year]</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The measure has to match the criterion that triggered the risk; the risk is then reassessed. If the risk remains, the product may neither be placed on the market nor exported (Art. 4(4)). The Dutch Government names risk mitigation for mixed supply flows as the weak point of the dry runs (Kamerstuk 36 518, No. 17); the NVWA recommends an input-output overview for each processing site (news item of 21 August 2025). Certificates only as a complement (BLE slide 33) and with an explained link to the risk (NVWA news item of 21 August 2025). Measures catalogue with 37 entries by criterion: Excel template at polygon-one.com/en/eudr-risk-assessment-template.</w:t>
            </w:r>
          </w:p>
        </w:tc>
      </w:tr>
    </w:tbl>
    <w:p>
      <w:pPr>
        <w:spacing w:after="40"/>
      </w:pPr>
    </w:p>
    <w:p>
      <w:r>
        <w:rPr>
          <w:b/>
          <w:sz w:val="18"/>
        </w:rPr>
        <w:t xml:space="preserve">Evidence in the file: </w:t>
      </w:r>
      <w:r>
        <w:rPr>
          <w:b w:val="0"/>
          <w:i w:val="0"/>
          <w:sz w:val="18"/>
        </w:rPr>
        <w:t xml:space="preserve">Decision record with reasons, date and result of the reassessment; filed at: </w:t>
      </w:r>
      <w:r>
        <w:rPr>
          <w:b w:val="0"/>
          <w:i w:val="0"/>
          <w:sz w:val="18"/>
          <w:shd w:val="clear" w:color="auto" w:fill="E3E3E3"/>
        </w:rPr>
        <w:t>[location, document]</w:t>
      </w:r>
    </w:p>
    <w:p>
      <w:pPr>
        <w:pStyle w:val="Heading2"/>
      </w:pPr>
      <w:r>
        <w:t>Building block 7: Release and flow of goods</w:t>
      </w:r>
    </w:p>
    <w:p>
      <w:r>
        <w:rPr>
          <w:b/>
          <w:sz w:val="18"/>
        </w:rPr>
        <w:t xml:space="preserve">Legal basis: </w:t>
      </w:r>
      <w:r>
        <w:rPr>
          <w:b w:val="0"/>
          <w:i w:val="0"/>
          <w:sz w:val="18"/>
        </w:rPr>
        <w:t>Art. 3, Art. 4(1) and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Release point</w:t>
            </w:r>
          </w:p>
        </w:tc>
        <w:tc>
          <w:tcPr>
            <w:tcW w:type="dxa" w:w="7030"/>
          </w:tcPr>
          <w:p>
            <w:pPr>
              <w:spacing w:after="40" w:line="252" w:lineRule="auto"/>
            </w:pPr>
            <w:r>
              <w:rPr>
                <w:b w:val="0"/>
                <w:i w:val="0"/>
                <w:sz w:val="18"/>
                <w:shd w:val="clear" w:color="auto" w:fill="E3E3E3"/>
              </w:rPr>
              <w:t>[in the process, at the latest before the customs declaration or the first making available]</w:t>
            </w:r>
          </w:p>
        </w:tc>
      </w:tr>
      <w:tr>
        <w:tc>
          <w:tcPr>
            <w:tcW w:type="dxa" w:w="2608"/>
          </w:tcPr>
          <w:p>
            <w:pPr>
              <w:spacing w:after="40" w:line="252" w:lineRule="auto"/>
            </w:pPr>
            <w:r>
              <w:rPr>
                <w:b/>
                <w:i w:val="0"/>
                <w:sz w:val="18"/>
              </w:rPr>
              <w:t>Release criteria</w:t>
            </w:r>
          </w:p>
        </w:tc>
        <w:tc>
          <w:tcPr>
            <w:tcW w:type="dxa" w:w="7030"/>
          </w:tcPr>
          <w:p>
            <w:pPr>
              <w:spacing w:after="40" w:line="252" w:lineRule="auto"/>
            </w:pPr>
            <w:r>
              <w:rPr>
                <w:b w:val="0"/>
                <w:i w:val="0"/>
                <w:sz w:val="18"/>
                <w:shd w:val="clear" w:color="auto" w:fill="E3E3E3"/>
              </w:rPr>
              <w:t>[information complete, assessment and any mitigation completed, result negligible]</w:t>
            </w:r>
          </w:p>
        </w:tc>
      </w:tr>
      <w:tr>
        <w:tc>
          <w:tcPr>
            <w:tcW w:type="dxa" w:w="2608"/>
          </w:tcPr>
          <w:p>
            <w:pPr>
              <w:spacing w:after="40" w:line="252" w:lineRule="auto"/>
            </w:pPr>
            <w:r>
              <w:rPr>
                <w:b/>
                <w:i w:val="0"/>
                <w:sz w:val="18"/>
              </w:rPr>
              <w:t>Released by</w:t>
            </w:r>
          </w:p>
        </w:tc>
        <w:tc>
          <w:tcPr>
            <w:tcW w:type="dxa" w:w="7030"/>
          </w:tcPr>
          <w:p>
            <w:pPr>
              <w:spacing w:after="40" w:line="252" w:lineRule="auto"/>
            </w:pPr>
            <w:r>
              <w:rPr>
                <w:b w:val="0"/>
                <w:i w:val="0"/>
                <w:sz w:val="18"/>
                <w:shd w:val="clear" w:color="auto" w:fill="E3E3E3"/>
              </w:rPr>
              <w:t>[function, four-eyes principle, veto of the compliance officer for non-SMEs]</w:t>
            </w:r>
          </w:p>
        </w:tc>
      </w:tr>
      <w:tr>
        <w:tc>
          <w:tcPr>
            <w:tcW w:type="dxa" w:w="2608"/>
          </w:tcPr>
          <w:p>
            <w:pPr>
              <w:spacing w:after="40" w:line="252" w:lineRule="auto"/>
            </w:pPr>
            <w:r>
              <w:rPr>
                <w:b/>
                <w:i w:val="0"/>
                <w:sz w:val="18"/>
              </w:rPr>
              <w:t>Technical block</w:t>
            </w:r>
          </w:p>
        </w:tc>
        <w:tc>
          <w:tcPr>
            <w:tcW w:type="dxa" w:w="7030"/>
          </w:tcPr>
          <w:p>
            <w:pPr>
              <w:spacing w:after="40" w:line="252" w:lineRule="auto"/>
            </w:pPr>
            <w:r>
              <w:rPr>
                <w:b w:val="0"/>
                <w:i w:val="0"/>
                <w:sz w:val="18"/>
                <w:shd w:val="clear" w:color="auto" w:fill="E3E3E3"/>
              </w:rPr>
              <w:t>[system, status, who sets it]</w:t>
            </w:r>
          </w:p>
        </w:tc>
      </w:tr>
      <w:tr>
        <w:tc>
          <w:tcPr>
            <w:tcW w:type="dxa" w:w="2608"/>
          </w:tcPr>
          <w:p>
            <w:pPr>
              <w:spacing w:after="40" w:line="252" w:lineRule="auto"/>
            </w:pPr>
            <w:r>
              <w:rPr>
                <w:b/>
                <w:i w:val="0"/>
                <w:sz w:val="18"/>
              </w:rPr>
              <w:t>Labelling</w:t>
            </w:r>
          </w:p>
        </w:tc>
        <w:tc>
          <w:tcPr>
            <w:tcW w:type="dxa" w:w="7030"/>
          </w:tcPr>
          <w:p>
            <w:pPr>
              <w:spacing w:after="40" w:line="252" w:lineRule="auto"/>
            </w:pPr>
            <w:r>
              <w:rPr>
                <w:b w:val="0"/>
                <w:i w:val="0"/>
                <w:sz w:val="18"/>
                <w:shd w:val="clear" w:color="auto" w:fill="E3E3E3"/>
              </w:rPr>
              <w:t>[reference number per item, where]</w:t>
            </w:r>
          </w:p>
        </w:tc>
      </w:tr>
      <w:tr>
        <w:tc>
          <w:tcPr>
            <w:tcW w:type="dxa" w:w="2608"/>
          </w:tcPr>
          <w:p>
            <w:pPr>
              <w:spacing w:after="40" w:line="252" w:lineRule="auto"/>
            </w:pPr>
            <w:r>
              <w:rPr>
                <w:b/>
                <w:i w:val="0"/>
                <w:sz w:val="18"/>
              </w:rPr>
              <w:t>Warehouse</w:t>
            </w:r>
          </w:p>
        </w:tc>
        <w:tc>
          <w:tcPr>
            <w:tcW w:type="dxa" w:w="7030"/>
          </w:tcPr>
          <w:p>
            <w:pPr>
              <w:spacing w:after="40" w:line="252" w:lineRule="auto"/>
            </w:pPr>
            <w:r>
              <w:rPr>
                <w:b w:val="0"/>
                <w:i w:val="0"/>
                <w:sz w:val="18"/>
                <w:shd w:val="clear" w:color="auto" w:fill="E3E3E3"/>
              </w:rPr>
              <w:t>[segregation, old stock with import date]</w:t>
            </w:r>
          </w:p>
        </w:tc>
      </w:tr>
      <w:tr>
        <w:tc>
          <w:tcPr>
            <w:tcW w:type="dxa" w:w="2608"/>
          </w:tcPr>
          <w:p>
            <w:pPr>
              <w:spacing w:after="40" w:line="252" w:lineRule="auto"/>
            </w:pPr>
            <w:r>
              <w:rPr>
                <w:b/>
                <w:i w:val="0"/>
                <w:sz w:val="18"/>
              </w:rPr>
              <w:t>Quantity reconciliation</w:t>
            </w:r>
          </w:p>
        </w:tc>
        <w:tc>
          <w:tcPr>
            <w:tcW w:type="dxa" w:w="7030"/>
          </w:tcPr>
          <w:p>
            <w:pPr>
              <w:spacing w:after="40" w:line="252" w:lineRule="auto"/>
            </w:pPr>
            <w:r>
              <w:rPr>
                <w:b w:val="0"/>
                <w:i w:val="0"/>
                <w:sz w:val="18"/>
                <w:shd w:val="clear" w:color="auto" w:fill="E3E3E3"/>
              </w:rPr>
              <w:t>[who, when]</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Placing on the market is prohibited in case of non-compliance, non-negligible risk or without due diligence and a statement (Art. 3, Art. 4(4)). The NVWA checks the link between the system and the physical product and traceability within the business; in its experience, systems built into purchasing, sales and the warehouse work better (news item of 21 August 2025). Evidence old stock, for example with the customs declaration; the burden of proof lies with the operator (Commission FAQ 9.3, 9.4 and 9.6).</w:t>
            </w:r>
          </w:p>
        </w:tc>
      </w:tr>
    </w:tbl>
    <w:p>
      <w:pPr>
        <w:spacing w:after="40"/>
      </w:pPr>
    </w:p>
    <w:p>
      <w:r>
        <w:rPr>
          <w:b/>
          <w:sz w:val="18"/>
        </w:rPr>
        <w:t xml:space="preserve">Evidence in the file: </w:t>
      </w:r>
      <w:r>
        <w:rPr>
          <w:b w:val="0"/>
          <w:i w:val="0"/>
          <w:sz w:val="18"/>
        </w:rPr>
        <w:t xml:space="preserve">Release record per delivery, warehouse posting; filed at: </w:t>
      </w:r>
      <w:r>
        <w:rPr>
          <w:b w:val="0"/>
          <w:i w:val="0"/>
          <w:sz w:val="18"/>
          <w:shd w:val="clear" w:color="auto" w:fill="E3E3E3"/>
        </w:rPr>
        <w:t>[location, document]</w:t>
      </w:r>
    </w:p>
    <w:p>
      <w:pPr>
        <w:pStyle w:val="Heading2"/>
      </w:pPr>
      <w:r>
        <w:t>Building block 8: Due diligence statement, reference numbers, customs</w:t>
      </w:r>
    </w:p>
    <w:p>
      <w:r>
        <w:rPr>
          <w:b/>
          <w:sz w:val="18"/>
        </w:rPr>
        <w:t xml:space="preserve">Legal basis: </w:t>
      </w:r>
      <w:r>
        <w:rPr>
          <w:b w:val="0"/>
          <w:i w:val="0"/>
          <w:sz w:val="18"/>
        </w:rPr>
        <w:t>Art. 4(2), (3) and (7), Art. 6, Art. 26(4); Arts. 8a and 15a of Implementing Regulation (EU) 2024/3084 as amended by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Preparation and submission</w:t>
            </w:r>
          </w:p>
        </w:tc>
        <w:tc>
          <w:tcPr>
            <w:tcW w:type="dxa" w:w="7030"/>
          </w:tcPr>
          <w:p>
            <w:pPr>
              <w:spacing w:after="40" w:line="252" w:lineRule="auto"/>
            </w:pPr>
            <w:r>
              <w:rPr>
                <w:b w:val="0"/>
                <w:i w:val="0"/>
                <w:sz w:val="18"/>
                <w:shd w:val="clear" w:color="auto" w:fill="E3E3E3"/>
              </w:rPr>
              <w:t>[function; authorised representative yes or no]</w:t>
            </w:r>
          </w:p>
        </w:tc>
      </w:tr>
      <w:tr>
        <w:tc>
          <w:tcPr>
            <w:tcW w:type="dxa" w:w="2608"/>
          </w:tcPr>
          <w:p>
            <w:pPr>
              <w:spacing w:after="40" w:line="252" w:lineRule="auto"/>
            </w:pPr>
            <w:r>
              <w:rPr>
                <w:b/>
                <w:i w:val="0"/>
                <w:sz w:val="18"/>
              </w:rPr>
              <w:t>Type of statement</w:t>
            </w:r>
          </w:p>
        </w:tc>
        <w:tc>
          <w:tcPr>
            <w:tcW w:type="dxa" w:w="7030"/>
          </w:tcPr>
          <w:p>
            <w:pPr>
              <w:spacing w:after="40" w:line="252" w:lineRule="auto"/>
            </w:pPr>
            <w:r>
              <w:rPr>
                <w:b w:val="0"/>
                <w:i w:val="0"/>
                <w:sz w:val="18"/>
                <w:shd w:val="clear" w:color="auto" w:fill="E3E3E3"/>
              </w:rPr>
              <w:t>[per delivery, grouped statement, annual statement covering no more than one year from submission, aggregated statement]</w:t>
            </w:r>
          </w:p>
        </w:tc>
      </w:tr>
      <w:tr>
        <w:tc>
          <w:tcPr>
            <w:tcW w:type="dxa" w:w="2608"/>
          </w:tcPr>
          <w:p>
            <w:pPr>
              <w:spacing w:after="40" w:line="252" w:lineRule="auto"/>
            </w:pPr>
            <w:r>
              <w:rPr>
                <w:b/>
                <w:i w:val="0"/>
                <w:sz w:val="18"/>
              </w:rPr>
              <w:t>Coverage</w:t>
            </w:r>
          </w:p>
        </w:tc>
        <w:tc>
          <w:tcPr>
            <w:tcW w:type="dxa" w:w="7030"/>
          </w:tcPr>
          <w:p>
            <w:pPr>
              <w:spacing w:after="40" w:line="252" w:lineRule="auto"/>
            </w:pPr>
            <w:r>
              <w:rPr>
                <w:b w:val="0"/>
                <w:i w:val="0"/>
                <w:sz w:val="18"/>
                <w:shd w:val="clear" w:color="auto" w:fill="E3E3E3"/>
              </w:rPr>
              <w:t>[only commodities already produced, for timber trees already felled; exception for stable plots with reasons]</w:t>
            </w:r>
          </w:p>
        </w:tc>
      </w:tr>
      <w:tr>
        <w:tc>
          <w:tcPr>
            <w:tcW w:type="dxa" w:w="2608"/>
          </w:tcPr>
          <w:p>
            <w:pPr>
              <w:spacing w:after="40" w:line="252" w:lineRule="auto"/>
            </w:pPr>
            <w:r>
              <w:rPr>
                <w:b/>
                <w:i w:val="0"/>
                <w:sz w:val="18"/>
              </w:rPr>
              <w:t>Quantity reconciliation</w:t>
            </w:r>
          </w:p>
        </w:tc>
        <w:tc>
          <w:tcPr>
            <w:tcW w:type="dxa" w:w="7030"/>
          </w:tcPr>
          <w:p>
            <w:pPr>
              <w:spacing w:after="40" w:line="252" w:lineRule="auto"/>
            </w:pPr>
            <w:r>
              <w:rPr>
                <w:b w:val="0"/>
                <w:i w:val="0"/>
                <w:sz w:val="18"/>
                <w:shd w:val="clear" w:color="auto" w:fill="E3E3E3"/>
              </w:rPr>
              <w:t>[remaining quantity, who, when]</w:t>
            </w:r>
          </w:p>
        </w:tc>
      </w:tr>
      <w:tr>
        <w:tc>
          <w:tcPr>
            <w:tcW w:type="dxa" w:w="2608"/>
          </w:tcPr>
          <w:p>
            <w:pPr>
              <w:spacing w:after="40" w:line="252" w:lineRule="auto"/>
            </w:pPr>
            <w:r>
              <w:rPr>
                <w:b/>
                <w:i w:val="0"/>
                <w:sz w:val="18"/>
              </w:rPr>
              <w:t>Check before submission</w:t>
            </w:r>
          </w:p>
        </w:tc>
        <w:tc>
          <w:tcPr>
            <w:tcW w:type="dxa" w:w="7030"/>
          </w:tcPr>
          <w:p>
            <w:pPr>
              <w:spacing w:after="40" w:line="252" w:lineRule="auto"/>
            </w:pPr>
            <w:r>
              <w:rPr>
                <w:b w:val="0"/>
                <w:i w:val="0"/>
                <w:sz w:val="18"/>
                <w:shd w:val="clear" w:color="auto" w:fill="E3E3E3"/>
              </w:rPr>
              <w:t>[who, four-eyes principle]</w:t>
            </w:r>
          </w:p>
        </w:tc>
      </w:tr>
      <w:tr>
        <w:tc>
          <w:tcPr>
            <w:tcW w:type="dxa" w:w="2608"/>
          </w:tcPr>
          <w:p>
            <w:pPr>
              <w:spacing w:after="40" w:line="252" w:lineRule="auto"/>
            </w:pPr>
            <w:r>
              <w:rPr>
                <w:b/>
                <w:i w:val="0"/>
                <w:sz w:val="18"/>
              </w:rPr>
              <w:t>Amendment and withdrawal</w:t>
            </w:r>
          </w:p>
        </w:tc>
        <w:tc>
          <w:tcPr>
            <w:tcW w:type="dxa" w:w="7030"/>
          </w:tcPr>
          <w:p>
            <w:pPr>
              <w:spacing w:after="40" w:line="252" w:lineRule="auto"/>
            </w:pPr>
            <w:r>
              <w:rPr>
                <w:b w:val="0"/>
                <w:i w:val="0"/>
                <w:sz w:val="18"/>
                <w:shd w:val="clear" w:color="auto" w:fill="E3E3E3"/>
              </w:rPr>
              <w:t>[within the 72-hour window after validation: who, when]</w:t>
            </w:r>
          </w:p>
        </w:tc>
      </w:tr>
      <w:tr>
        <w:tc>
          <w:tcPr>
            <w:tcW w:type="dxa" w:w="2608"/>
          </w:tcPr>
          <w:p>
            <w:pPr>
              <w:spacing w:after="40" w:line="252" w:lineRule="auto"/>
            </w:pPr>
            <w:r>
              <w:rPr>
                <w:b/>
                <w:i w:val="0"/>
                <w:sz w:val="18"/>
              </w:rPr>
              <w:t>Passing on</w:t>
            </w:r>
          </w:p>
        </w:tc>
        <w:tc>
          <w:tcPr>
            <w:tcW w:type="dxa" w:w="7030"/>
          </w:tcPr>
          <w:p>
            <w:pPr>
              <w:spacing w:after="40" w:line="252" w:lineRule="auto"/>
            </w:pPr>
            <w:r>
              <w:rPr>
                <w:b w:val="0"/>
                <w:i w:val="0"/>
                <w:sz w:val="18"/>
                <w:shd w:val="clear" w:color="auto" w:fill="E3E3E3"/>
              </w:rPr>
              <w:t>[reference number to customs and customers; where: customs order, invoice, delivery note; verification number]</w:t>
            </w:r>
          </w:p>
        </w:tc>
      </w:tr>
      <w:tr>
        <w:tc>
          <w:tcPr>
            <w:tcW w:type="dxa" w:w="2608"/>
          </w:tcPr>
          <w:p>
            <w:pPr>
              <w:spacing w:after="40" w:line="252" w:lineRule="auto"/>
            </w:pPr>
            <w:r>
              <w:rPr>
                <w:b/>
                <w:i w:val="0"/>
                <w:sz w:val="18"/>
              </w:rPr>
              <w:t>Emergency procedure</w:t>
            </w:r>
          </w:p>
        </w:tc>
        <w:tc>
          <w:tcPr>
            <w:tcW w:type="dxa" w:w="7030"/>
          </w:tcPr>
          <w:p>
            <w:pPr>
              <w:spacing w:after="40" w:line="252" w:lineRule="auto"/>
            </w:pPr>
            <w:r>
              <w:rPr>
                <w:b w:val="0"/>
                <w:i w:val="0"/>
                <w:sz w:val="18"/>
                <w:shd w:val="clear" w:color="auto" w:fill="E3E3E3"/>
              </w:rPr>
              <w:t>[if the information system fails: who watches the Commission's information, who decides, how the emergency reference number is recorded]</w:t>
            </w:r>
          </w:p>
        </w:tc>
      </w:tr>
      <w:tr>
        <w:tc>
          <w:tcPr>
            <w:tcW w:type="dxa" w:w="2608"/>
          </w:tcPr>
          <w:p>
            <w:pPr>
              <w:spacing w:after="40" w:line="252" w:lineRule="auto"/>
            </w:pPr>
            <w:r>
              <w:rPr>
                <w:b/>
                <w:i w:val="0"/>
                <w:sz w:val="18"/>
              </w:rPr>
              <w:t>Filing</w:t>
            </w:r>
          </w:p>
        </w:tc>
        <w:tc>
          <w:tcPr>
            <w:tcW w:type="dxa" w:w="7030"/>
          </w:tcPr>
          <w:p>
            <w:pPr>
              <w:spacing w:after="40" w:line="252" w:lineRule="auto"/>
            </w:pPr>
            <w:r>
              <w:rPr>
                <w:b w:val="0"/>
                <w:i w:val="0"/>
                <w:sz w:val="18"/>
                <w:shd w:val="clear" w:color="auto" w:fill="E3E3E3"/>
              </w:rPr>
              <w:t>[statement as PDF and geodata file kept separately]</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The statement is submitted before placing on the market or export (Art. 4(2)); by submitting it the operator assumes responsibility, and it is kept for five years from submission (Art. 4(3)). The reference or identification number must be available to customs before release; the declarant provides it (Art. 26(4)). Commission FAQ 5.19: a statement should not cover deliveries over more than one year from submission (no. 3) and as a rule only commodities already produced (no. 4); the correspondence of quantities has to be shown (no. 5). Aggregated statement: Art. 8a of the Implementing Regulation; emergency reference number for an unplanned outage of more than 60 minutes: Art. 15a, the Commission provides information on a website. The PDF of the statement does not contain the geolocation; export geodata separately (user guide v3.0, section 6.2(a) and (b)). Use the test environment before going live. Guides: polygon-one.com/en/eudr-submit-due-diligence-statement, /en/eudr-reference-number and /en/eudr-freight-forwarders-customs-brokers.</w:t>
            </w:r>
          </w:p>
        </w:tc>
      </w:tr>
    </w:tbl>
    <w:p>
      <w:pPr>
        <w:spacing w:after="40"/>
      </w:pPr>
    </w:p>
    <w:p>
      <w:r>
        <w:rPr>
          <w:b/>
          <w:sz w:val="18"/>
        </w:rPr>
        <w:t xml:space="preserve">Evidence in the file: </w:t>
      </w:r>
      <w:r>
        <w:rPr>
          <w:b w:val="0"/>
          <w:i w:val="0"/>
          <w:sz w:val="18"/>
        </w:rPr>
        <w:t xml:space="preserve">Statement as PDF and geodata file, reference and verification number, customs declaration; filed at: </w:t>
      </w:r>
      <w:r>
        <w:rPr>
          <w:b w:val="0"/>
          <w:i w:val="0"/>
          <w:sz w:val="18"/>
          <w:shd w:val="clear" w:color="auto" w:fill="E3E3E3"/>
        </w:rPr>
        <w:t>[location, document]</w:t>
      </w:r>
    </w:p>
    <w:p>
      <w:pPr>
        <w:pStyle w:val="Heading2"/>
      </w:pPr>
      <w:r>
        <w:t>Building block 9: New information and substantiated concerns</w:t>
      </w:r>
    </w:p>
    <w:p>
      <w:r>
        <w:rPr>
          <w:b/>
          <w:sz w:val="18"/>
        </w:rPr>
        <w:t xml:space="preserve">Legal basis: </w:t>
      </w:r>
      <w:r>
        <w:rPr>
          <w:b w:val="0"/>
          <w:i w:val="0"/>
          <w:sz w:val="18"/>
        </w:rPr>
        <w:t>Art. 4(5), Art. 13(2), Art. 31</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Input channels</w:t>
            </w:r>
          </w:p>
        </w:tc>
        <w:tc>
          <w:tcPr>
            <w:tcW w:type="dxa" w:w="7030"/>
          </w:tcPr>
          <w:p>
            <w:pPr>
              <w:spacing w:after="40" w:line="252" w:lineRule="auto"/>
            </w:pPr>
            <w:r>
              <w:rPr>
                <w:b w:val="0"/>
                <w:i w:val="0"/>
                <w:sz w:val="18"/>
                <w:shd w:val="clear" w:color="auto" w:fill="E3E3E3"/>
              </w:rPr>
              <w:t>[suppliers, customers, organisations, authorities, media, satellite alerts; mailbox, phone]</w:t>
            </w:r>
          </w:p>
        </w:tc>
      </w:tr>
      <w:tr>
        <w:tc>
          <w:tcPr>
            <w:tcW w:type="dxa" w:w="2608"/>
          </w:tcPr>
          <w:p>
            <w:pPr>
              <w:spacing w:after="40" w:line="252" w:lineRule="auto"/>
            </w:pPr>
            <w:r>
              <w:rPr>
                <w:b/>
                <w:i w:val="0"/>
                <w:sz w:val="18"/>
              </w:rPr>
              <w:t>Recording and responsibility</w:t>
            </w:r>
          </w:p>
        </w:tc>
        <w:tc>
          <w:tcPr>
            <w:tcW w:type="dxa" w:w="7030"/>
          </w:tcPr>
          <w:p>
            <w:pPr>
              <w:spacing w:after="40" w:line="252" w:lineRule="auto"/>
            </w:pPr>
            <w:r>
              <w:rPr>
                <w:b w:val="0"/>
                <w:i w:val="0"/>
                <w:sz w:val="18"/>
                <w:shd w:val="clear" w:color="auto" w:fill="E3E3E3"/>
              </w:rPr>
              <w:t>[who records, who assesses]</w:t>
            </w:r>
          </w:p>
        </w:tc>
      </w:tr>
      <w:tr>
        <w:tc>
          <w:tcPr>
            <w:tcW w:type="dxa" w:w="2608"/>
          </w:tcPr>
          <w:p>
            <w:pPr>
              <w:spacing w:after="40" w:line="252" w:lineRule="auto"/>
            </w:pPr>
            <w:r>
              <w:rPr>
                <w:b/>
                <w:i w:val="0"/>
                <w:sz w:val="18"/>
              </w:rPr>
              <w:t>Deadline for the first assessment</w:t>
            </w:r>
          </w:p>
        </w:tc>
        <w:tc>
          <w:tcPr>
            <w:tcW w:type="dxa" w:w="7030"/>
          </w:tcPr>
          <w:p>
            <w:pPr>
              <w:spacing w:after="40" w:line="252" w:lineRule="auto"/>
            </w:pPr>
            <w:r>
              <w:rPr>
                <w:b w:val="0"/>
                <w:i w:val="0"/>
                <w:sz w:val="18"/>
                <w:shd w:val="clear" w:color="auto" w:fill="E3E3E3"/>
              </w:rPr>
              <w:t>[suggestion: two working days]</w:t>
            </w:r>
          </w:p>
        </w:tc>
      </w:tr>
      <w:tr>
        <w:tc>
          <w:tcPr>
            <w:tcW w:type="dxa" w:w="2608"/>
          </w:tcPr>
          <w:p>
            <w:pPr>
              <w:spacing w:after="40" w:line="252" w:lineRule="auto"/>
            </w:pPr>
            <w:r>
              <w:rPr>
                <w:b/>
                <w:i w:val="0"/>
                <w:sz w:val="18"/>
              </w:rPr>
              <w:t>Immediate measure</w:t>
            </w:r>
          </w:p>
        </w:tc>
        <w:tc>
          <w:tcPr>
            <w:tcW w:type="dxa" w:w="7030"/>
          </w:tcPr>
          <w:p>
            <w:pPr>
              <w:spacing w:after="40" w:line="252" w:lineRule="auto"/>
            </w:pPr>
            <w:r>
              <w:rPr>
                <w:b w:val="0"/>
                <w:i w:val="0"/>
                <w:sz w:val="18"/>
                <w:shd w:val="clear" w:color="auto" w:fill="E3E3E3"/>
              </w:rPr>
              <w:t>[block affected stock]</w:t>
            </w:r>
          </w:p>
        </w:tc>
      </w:tr>
      <w:tr>
        <w:tc>
          <w:tcPr>
            <w:tcW w:type="dxa" w:w="2608"/>
          </w:tcPr>
          <w:p>
            <w:pPr>
              <w:spacing w:after="40" w:line="252" w:lineRule="auto"/>
            </w:pPr>
            <w:r>
              <w:rPr>
                <w:b/>
                <w:i w:val="0"/>
                <w:sz w:val="18"/>
              </w:rPr>
              <w:t>Notification</w:t>
            </w:r>
          </w:p>
        </w:tc>
        <w:tc>
          <w:tcPr>
            <w:tcW w:type="dxa" w:w="7030"/>
          </w:tcPr>
          <w:p>
            <w:pPr>
              <w:spacing w:after="40" w:line="252" w:lineRule="auto"/>
            </w:pPr>
            <w:r>
              <w:rPr>
                <w:b w:val="0"/>
                <w:i w:val="0"/>
                <w:sz w:val="18"/>
                <w:shd w:val="clear" w:color="auto" w:fill="E3E3E3"/>
              </w:rPr>
              <w:t>[immediately to the competent authority, under the German draft act (printed paper 21/8278, section 3) the BLE or, for commodities from Germany at the level of primary production or timber harvesting, the authority competent under state law, and to downstream operators and traders supplied; who notifies, how]</w:t>
            </w:r>
          </w:p>
        </w:tc>
      </w:tr>
      <w:tr>
        <w:tc>
          <w:tcPr>
            <w:tcW w:type="dxa" w:w="2608"/>
          </w:tcPr>
          <w:p>
            <w:pPr>
              <w:spacing w:after="40" w:line="252" w:lineRule="auto"/>
            </w:pPr>
            <w:r>
              <w:rPr>
                <w:b/>
                <w:i w:val="0"/>
                <w:sz w:val="18"/>
              </w:rPr>
              <w:t>Under simplified due diligence</w:t>
            </w:r>
          </w:p>
        </w:tc>
        <w:tc>
          <w:tcPr>
            <w:tcW w:type="dxa" w:w="7030"/>
          </w:tcPr>
          <w:p>
            <w:pPr>
              <w:spacing w:after="40" w:line="252" w:lineRule="auto"/>
            </w:pPr>
            <w:r>
              <w:rPr>
                <w:b w:val="0"/>
                <w:i w:val="0"/>
                <w:sz w:val="18"/>
                <w:shd w:val="clear" w:color="auto" w:fill="E3E3E3"/>
              </w:rPr>
              <w:t>[full assessment under Arts. 10 and 11 and information to the authority under Art. 13(2)]</w:t>
            </w:r>
          </w:p>
        </w:tc>
      </w:tr>
      <w:tr>
        <w:tc>
          <w:tcPr>
            <w:tcW w:type="dxa" w:w="2608"/>
          </w:tcPr>
          <w:p>
            <w:pPr>
              <w:spacing w:after="40" w:line="252" w:lineRule="auto"/>
            </w:pPr>
            <w:r>
              <w:rPr>
                <w:b/>
                <w:i w:val="0"/>
                <w:sz w:val="18"/>
              </w:rPr>
              <w:t>Feedback</w:t>
            </w:r>
          </w:p>
        </w:tc>
        <w:tc>
          <w:tcPr>
            <w:tcW w:type="dxa" w:w="7030"/>
          </w:tcPr>
          <w:p>
            <w:pPr>
              <w:spacing w:after="40" w:line="252" w:lineRule="auto"/>
            </w:pPr>
            <w:r>
              <w:rPr>
                <w:b w:val="0"/>
                <w:i w:val="0"/>
                <w:sz w:val="18"/>
                <w:shd w:val="clear" w:color="auto" w:fill="E3E3E3"/>
              </w:rPr>
              <w:t>[which building blocks are adjusted]</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Operators that obtain new information immediately inform the competent authority and the traders and downstream operators they supplied (Art. 4(5)). Substantiated concerns from third parties go to the authority (Art. 31) but can also reach the company directly (Commission FAQ 4.15). Under the German draft act (Bundestag printed paper 21/8278, section 14(1) no. 4, not yet passed) failing to inform is subject to a fine.</w:t>
            </w:r>
          </w:p>
        </w:tc>
      </w:tr>
    </w:tbl>
    <w:p>
      <w:pPr>
        <w:spacing w:after="40"/>
      </w:pPr>
    </w:p>
    <w:p>
      <w:r>
        <w:rPr>
          <w:b/>
          <w:sz w:val="18"/>
        </w:rPr>
        <w:t xml:space="preserve">Evidence in the file: </w:t>
      </w:r>
      <w:r>
        <w:rPr>
          <w:b w:val="0"/>
          <w:i w:val="0"/>
          <w:sz w:val="18"/>
        </w:rPr>
        <w:t xml:space="preserve">Notification log with receipt, assessment, measure and notification; filed at: </w:t>
      </w:r>
      <w:r>
        <w:rPr>
          <w:b w:val="0"/>
          <w:i w:val="0"/>
          <w:sz w:val="18"/>
          <w:shd w:val="clear" w:color="auto" w:fill="E3E3E3"/>
        </w:rPr>
        <w:t>[location, document]</w:t>
      </w:r>
    </w:p>
    <w:p>
      <w:pPr>
        <w:pStyle w:val="Heading1"/>
      </w:pPr>
      <w:r>
        <w:t>Part C: Control and maintenance</w:t>
      </w:r>
    </w:p>
    <w:p>
      <w:pPr>
        <w:pStyle w:val="Heading2"/>
      </w:pPr>
      <w:r>
        <w:t>Building block 10: Internal control and independent audit function</w:t>
      </w:r>
    </w:p>
    <w:p>
      <w:r>
        <w:rPr>
          <w:b/>
          <w:sz w:val="18"/>
        </w:rPr>
        <w:t xml:space="preserve">Legal basis: </w:t>
      </w:r>
      <w:r>
        <w:rPr>
          <w:b w:val="0"/>
          <w:i w:val="0"/>
          <w:sz w:val="18"/>
        </w:rPr>
        <w:t>Art. 11(2)(a) and (b)</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Internal controls</w:t>
            </w:r>
          </w:p>
        </w:tc>
        <w:tc>
          <w:tcPr>
            <w:tcW w:type="dxa" w:w="7030"/>
          </w:tcPr>
          <w:p>
            <w:pPr>
              <w:spacing w:after="40" w:line="252" w:lineRule="auto"/>
            </w:pPr>
            <w:r>
              <w:rPr>
                <w:b w:val="0"/>
                <w:i w:val="0"/>
                <w:sz w:val="18"/>
                <w:shd w:val="clear" w:color="auto" w:fill="E3E3E3"/>
              </w:rPr>
              <w:t>[for example each quarter [number] randomly drawn reference numbers checked for a complete file; indicators]</w:t>
            </w:r>
          </w:p>
        </w:tc>
      </w:tr>
      <w:tr>
        <w:tc>
          <w:tcPr>
            <w:tcW w:type="dxa" w:w="2608"/>
          </w:tcPr>
          <w:p>
            <w:pPr>
              <w:spacing w:after="40" w:line="252" w:lineRule="auto"/>
            </w:pPr>
            <w:r>
              <w:rPr>
                <w:b/>
                <w:i w:val="0"/>
                <w:sz w:val="18"/>
              </w:rPr>
              <w:t>Report to management</w:t>
            </w:r>
          </w:p>
        </w:tc>
        <w:tc>
          <w:tcPr>
            <w:tcW w:type="dxa" w:w="7030"/>
          </w:tcPr>
          <w:p>
            <w:pPr>
              <w:spacing w:after="40" w:line="252" w:lineRule="auto"/>
            </w:pPr>
            <w:r>
              <w:rPr>
                <w:b w:val="0"/>
                <w:i w:val="0"/>
                <w:sz w:val="18"/>
                <w:shd w:val="clear" w:color="auto" w:fill="E3E3E3"/>
              </w:rPr>
              <w:t>[content, frequency]</w:t>
            </w:r>
          </w:p>
        </w:tc>
      </w:tr>
      <w:tr>
        <w:tc>
          <w:tcPr>
            <w:tcW w:type="dxa" w:w="2608"/>
          </w:tcPr>
          <w:p>
            <w:pPr>
              <w:spacing w:after="40" w:line="252" w:lineRule="auto"/>
            </w:pPr>
            <w:r>
              <w:rPr>
                <w:b/>
                <w:i w:val="0"/>
                <w:sz w:val="18"/>
              </w:rPr>
              <w:t>Audit function (non-SMEs only)</w:t>
            </w:r>
          </w:p>
        </w:tc>
        <w:tc>
          <w:tcPr>
            <w:tcW w:type="dxa" w:w="7030"/>
          </w:tcPr>
          <w:p>
            <w:pPr>
              <w:spacing w:after="40" w:line="252" w:lineRule="auto"/>
            </w:pPr>
            <w:r>
              <w:rPr>
                <w:b w:val="0"/>
                <w:i w:val="0"/>
                <w:sz w:val="18"/>
                <w:shd w:val="clear" w:color="auto" w:fill="E3E3E3"/>
              </w:rPr>
              <w:t>[internal or external, reasons for the choice, independence]</w:t>
            </w:r>
          </w:p>
        </w:tc>
      </w:tr>
      <w:tr>
        <w:tc>
          <w:tcPr>
            <w:tcW w:type="dxa" w:w="2608"/>
          </w:tcPr>
          <w:p>
            <w:pPr>
              <w:spacing w:after="40" w:line="252" w:lineRule="auto"/>
            </w:pPr>
            <w:r>
              <w:rPr>
                <w:b/>
                <w:i w:val="0"/>
                <w:sz w:val="18"/>
              </w:rPr>
              <w:t>Audit mandate (non-SMEs only)</w:t>
            </w:r>
          </w:p>
        </w:tc>
        <w:tc>
          <w:tcPr>
            <w:tcW w:type="dxa" w:w="7030"/>
          </w:tcPr>
          <w:p>
            <w:pPr>
              <w:spacing w:after="40" w:line="252" w:lineRule="auto"/>
            </w:pPr>
            <w:r>
              <w:rPr>
                <w:b w:val="0"/>
                <w:i w:val="0"/>
                <w:sz w:val="18"/>
                <w:shd w:val="clear" w:color="auto" w:fill="E3E3E3"/>
              </w:rPr>
              <w:t>[policies, controls and procedures under Art. 11(2)(a); frequency; recipient of the report]</w:t>
            </w:r>
          </w:p>
        </w:tc>
      </w:tr>
      <w:tr>
        <w:tc>
          <w:tcPr>
            <w:tcW w:type="dxa" w:w="2608"/>
          </w:tcPr>
          <w:p>
            <w:pPr>
              <w:spacing w:after="40" w:line="252" w:lineRule="auto"/>
            </w:pPr>
            <w:r>
              <w:rPr>
                <w:b/>
                <w:i w:val="0"/>
                <w:sz w:val="18"/>
              </w:rPr>
              <w:t>Follow-up of actions</w:t>
            </w:r>
          </w:p>
        </w:tc>
        <w:tc>
          <w:tcPr>
            <w:tcW w:type="dxa" w:w="7030"/>
          </w:tcPr>
          <w:p>
            <w:pPr>
              <w:spacing w:after="40" w:line="252" w:lineRule="auto"/>
            </w:pPr>
            <w:r>
              <w:rPr>
                <w:b w:val="0"/>
                <w:i w:val="0"/>
                <w:sz w:val="18"/>
                <w:shd w:val="clear" w:color="auto" w:fill="E3E3E3"/>
              </w:rPr>
              <w:t>[who, deadlines]</w:t>
            </w:r>
          </w:p>
        </w:tc>
      </w:tr>
      <w:tr>
        <w:tc>
          <w:tcPr>
            <w:tcW w:type="dxa" w:w="2608"/>
          </w:tcPr>
          <w:p>
            <w:pPr>
              <w:spacing w:after="40" w:line="252" w:lineRule="auto"/>
            </w:pPr>
            <w:r>
              <w:rPr>
                <w:b/>
                <w:i w:val="0"/>
                <w:sz w:val="18"/>
              </w:rPr>
              <w:t>Sharing results with customers (non-SMEs only)</w:t>
            </w:r>
          </w:p>
        </w:tc>
        <w:tc>
          <w:tcPr>
            <w:tcW w:type="dxa" w:w="7030"/>
          </w:tcPr>
          <w:p>
            <w:pPr>
              <w:spacing w:after="40" w:line="252" w:lineRule="auto"/>
            </w:pPr>
            <w:r>
              <w:rPr>
                <w:b w:val="0"/>
                <w:i w:val="0"/>
                <w:sz w:val="18"/>
                <w:shd w:val="clear" w:color="auto" w:fill="E3E3E3"/>
              </w:rPr>
              <w:t>[yes or no, in which form]</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The independent audit function checks the system, not the individual delivery (Art. 11(2)(b)). Design, frequency and independence are not regulated by the Regulation, the guidelines or the FAQ; the template allows an internal or external audit function and asks for reasons (our interpretation). Downstream non-SMEs can draw on the results of such audits when substantiated concerns arise (Commission FAQ 3.6.2).</w:t>
            </w:r>
          </w:p>
        </w:tc>
      </w:tr>
    </w:tbl>
    <w:p>
      <w:pPr>
        <w:spacing w:after="40"/>
      </w:pPr>
    </w:p>
    <w:p>
      <w:r>
        <w:rPr>
          <w:b/>
          <w:sz w:val="18"/>
        </w:rPr>
        <w:t xml:space="preserve">Evidence in the file: </w:t>
      </w:r>
      <w:r>
        <w:rPr>
          <w:b w:val="0"/>
          <w:i w:val="0"/>
          <w:sz w:val="18"/>
        </w:rPr>
        <w:t xml:space="preserve">Audit report, action list with deadlines; filed at: </w:t>
      </w:r>
      <w:r>
        <w:rPr>
          <w:b w:val="0"/>
          <w:i w:val="0"/>
          <w:sz w:val="18"/>
          <w:shd w:val="clear" w:color="auto" w:fill="E3E3E3"/>
        </w:rPr>
        <w:t>[location, document]</w:t>
      </w:r>
    </w:p>
    <w:p>
      <w:pPr>
        <w:pStyle w:val="Heading2"/>
      </w:pPr>
      <w:r>
        <w:t>Building block 11: Records and requests from authorities</w:t>
      </w:r>
    </w:p>
    <w:p>
      <w:r>
        <w:rPr>
          <w:b/>
          <w:sz w:val="18"/>
        </w:rPr>
        <w:t xml:space="preserve">Legal basis: </w:t>
      </w:r>
      <w:r>
        <w:rPr>
          <w:b w:val="0"/>
          <w:i w:val="0"/>
          <w:sz w:val="18"/>
        </w:rPr>
        <w:t>Art. 4(3) and (6), Art. 9(1) and (2), Art. 10(4), Art. 11(3), Art. 12(5), Art. 16(13), Art. 18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File per reference number</w:t>
            </w:r>
          </w:p>
        </w:tc>
        <w:tc>
          <w:tcPr>
            <w:tcW w:type="dxa" w:w="7030"/>
          </w:tcPr>
          <w:p>
            <w:pPr>
              <w:spacing w:after="40" w:line="252" w:lineRule="auto"/>
            </w:pPr>
            <w:r>
              <w:rPr>
                <w:b w:val="0"/>
                <w:i w:val="0"/>
                <w:sz w:val="18"/>
                <w:shd w:val="clear" w:color="auto" w:fill="E3E3E3"/>
              </w:rPr>
              <w:t>[product, quantity, supplier, geodata, evidence, legality check, risk assessment, mitigation, release, statement, reference and verification number, customs declaration, customer]</w:t>
            </w:r>
          </w:p>
        </w:tc>
      </w:tr>
      <w:tr>
        <w:tc>
          <w:tcPr>
            <w:tcW w:type="dxa" w:w="2608"/>
          </w:tcPr>
          <w:p>
            <w:pPr>
              <w:spacing w:after="40" w:line="252" w:lineRule="auto"/>
            </w:pPr>
            <w:r>
              <w:rPr>
                <w:b/>
                <w:i w:val="0"/>
                <w:sz w:val="18"/>
              </w:rPr>
              <w:t>Retention periods and start</w:t>
            </w:r>
          </w:p>
        </w:tc>
        <w:tc>
          <w:tcPr>
            <w:tcW w:type="dxa" w:w="7030"/>
          </w:tcPr>
          <w:p>
            <w:pPr>
              <w:spacing w:after="40" w:line="252" w:lineRule="auto"/>
            </w:pPr>
            <w:r>
              <w:rPr>
                <w:b w:val="0"/>
                <w:i w:val="0"/>
                <w:sz w:val="18"/>
                <w:shd w:val="clear" w:color="auto" w:fill="E3E3E3"/>
              </w:rPr>
              <w:t>[see table below, per type of record]</w:t>
            </w:r>
          </w:p>
        </w:tc>
      </w:tr>
      <w:tr>
        <w:tc>
          <w:tcPr>
            <w:tcW w:type="dxa" w:w="2608"/>
          </w:tcPr>
          <w:p>
            <w:pPr>
              <w:spacing w:after="40" w:line="252" w:lineRule="auto"/>
            </w:pPr>
            <w:r>
              <w:rPr>
                <w:b/>
                <w:i w:val="0"/>
                <w:sz w:val="18"/>
              </w:rPr>
              <w:t>Storage, access, backup</w:t>
            </w:r>
          </w:p>
        </w:tc>
        <w:tc>
          <w:tcPr>
            <w:tcW w:type="dxa" w:w="7030"/>
          </w:tcPr>
          <w:p>
            <w:pPr>
              <w:spacing w:after="40" w:line="252" w:lineRule="auto"/>
            </w:pPr>
            <w:r>
              <w:rPr>
                <w:b w:val="0"/>
                <w:i w:val="0"/>
                <w:sz w:val="18"/>
                <w:shd w:val="clear" w:color="auto" w:fill="E3E3E3"/>
              </w:rPr>
              <w:t>[system, permissions, backup]</w:t>
            </w:r>
          </w:p>
        </w:tc>
      </w:tr>
      <w:tr>
        <w:tc>
          <w:tcPr>
            <w:tcW w:type="dxa" w:w="2608"/>
          </w:tcPr>
          <w:p>
            <w:pPr>
              <w:spacing w:after="40" w:line="252" w:lineRule="auto"/>
            </w:pPr>
            <w:r>
              <w:rPr>
                <w:b/>
                <w:i w:val="0"/>
                <w:sz w:val="18"/>
              </w:rPr>
              <w:t>Deletion</w:t>
            </w:r>
          </w:p>
        </w:tc>
        <w:tc>
          <w:tcPr>
            <w:tcW w:type="dxa" w:w="7030"/>
          </w:tcPr>
          <w:p>
            <w:pPr>
              <w:spacing w:after="40" w:line="252" w:lineRule="auto"/>
            </w:pPr>
            <w:r>
              <w:rPr>
                <w:b w:val="0"/>
                <w:i w:val="0"/>
                <w:sz w:val="18"/>
                <w:shd w:val="clear" w:color="auto" w:fill="E3E3E3"/>
              </w:rPr>
              <w:t>[after the period has expired, with a log]</w:t>
            </w:r>
          </w:p>
        </w:tc>
      </w:tr>
      <w:tr>
        <w:tc>
          <w:tcPr>
            <w:tcW w:type="dxa" w:w="2608"/>
          </w:tcPr>
          <w:p>
            <w:pPr>
              <w:spacing w:after="40" w:line="252" w:lineRule="auto"/>
            </w:pPr>
            <w:r>
              <w:rPr>
                <w:b/>
                <w:i w:val="0"/>
                <w:sz w:val="18"/>
              </w:rPr>
              <w:t>Contact person for the authority</w:t>
            </w:r>
          </w:p>
        </w:tc>
        <w:tc>
          <w:tcPr>
            <w:tcW w:type="dxa" w:w="7030"/>
          </w:tcPr>
          <w:p>
            <w:pPr>
              <w:spacing w:after="40" w:line="252" w:lineRule="auto"/>
            </w:pPr>
            <w:r>
              <w:rPr>
                <w:b w:val="0"/>
                <w:i w:val="0"/>
                <w:sz w:val="18"/>
                <w:shd w:val="clear" w:color="auto" w:fill="E3E3E3"/>
              </w:rPr>
              <w:t>[name, function, deputy]</w:t>
            </w:r>
          </w:p>
        </w:tc>
      </w:tr>
      <w:tr>
        <w:tc>
          <w:tcPr>
            <w:tcW w:type="dxa" w:w="2608"/>
          </w:tcPr>
          <w:p>
            <w:pPr>
              <w:spacing w:after="40" w:line="252" w:lineRule="auto"/>
            </w:pPr>
            <w:r>
              <w:rPr>
                <w:b/>
                <w:i w:val="0"/>
                <w:sz w:val="18"/>
              </w:rPr>
              <w:t>Day of a check</w:t>
            </w:r>
          </w:p>
        </w:tc>
        <w:tc>
          <w:tcPr>
            <w:tcW w:type="dxa" w:w="7030"/>
          </w:tcPr>
          <w:p>
            <w:pPr>
              <w:spacing w:after="40" w:line="252" w:lineRule="auto"/>
            </w:pPr>
            <w:r>
              <w:rPr>
                <w:b w:val="0"/>
                <w:i w:val="0"/>
                <w:sz w:val="18"/>
                <w:shd w:val="clear" w:color="auto" w:fill="E3E3E3"/>
              </w:rPr>
              <w:t>[who provides information, opens premises, compiles records, accompanies sampling]</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948"/>
        <w:gridCol w:w="1474"/>
        <w:gridCol w:w="2835"/>
        <w:gridCol w:w="2381"/>
      </w:tblGrid>
      <w:tr>
        <w:trPr>
          <w:tblHeader w:val="true"/>
        </w:trPr>
        <w:tc>
          <w:tcPr>
            <w:tcW w:type="dxa" w:w="2948"/>
            <w:shd w:val="clear" w:color="auto" w:fill="D9E2EC"/>
          </w:tcPr>
          <w:p>
            <w:pPr>
              <w:spacing w:after="40" w:line="252" w:lineRule="auto"/>
            </w:pPr>
            <w:r>
              <w:rPr>
                <w:b/>
                <w:i w:val="0"/>
                <w:sz w:val="17"/>
              </w:rPr>
              <w:t>Record</w:t>
            </w:r>
          </w:p>
        </w:tc>
        <w:tc>
          <w:tcPr>
            <w:tcW w:type="dxa" w:w="1474"/>
            <w:shd w:val="clear" w:color="auto" w:fill="D9E2EC"/>
          </w:tcPr>
          <w:p>
            <w:pPr>
              <w:spacing w:after="40" w:line="252" w:lineRule="auto"/>
            </w:pPr>
            <w:r>
              <w:rPr>
                <w:b/>
                <w:i w:val="0"/>
                <w:sz w:val="17"/>
              </w:rPr>
              <w:t>Period</w:t>
            </w:r>
          </w:p>
        </w:tc>
        <w:tc>
          <w:tcPr>
            <w:tcW w:type="dxa" w:w="2835"/>
            <w:shd w:val="clear" w:color="auto" w:fill="D9E2EC"/>
          </w:tcPr>
          <w:p>
            <w:pPr>
              <w:spacing w:after="40" w:line="252" w:lineRule="auto"/>
            </w:pPr>
            <w:r>
              <w:rPr>
                <w:b/>
                <w:i w:val="0"/>
                <w:sz w:val="17"/>
              </w:rPr>
              <w:t>Starts</w:t>
            </w:r>
          </w:p>
        </w:tc>
        <w:tc>
          <w:tcPr>
            <w:tcW w:type="dxa" w:w="2381"/>
            <w:shd w:val="clear" w:color="auto" w:fill="D9E2EC"/>
          </w:tcPr>
          <w:p>
            <w:pPr>
              <w:spacing w:after="40" w:line="252" w:lineRule="auto"/>
            </w:pPr>
            <w:r>
              <w:rPr>
                <w:b/>
                <w:i w:val="0"/>
                <w:sz w:val="17"/>
              </w:rPr>
              <w:t>Legal source</w:t>
            </w:r>
          </w:p>
        </w:tc>
      </w:tr>
      <w:tr>
        <w:tc>
          <w:tcPr>
            <w:tcW w:type="dxa" w:w="2948"/>
          </w:tcPr>
          <w:p>
            <w:pPr>
              <w:spacing w:after="40" w:line="252" w:lineRule="auto"/>
            </w:pPr>
            <w:r>
              <w:rPr>
                <w:b w:val="0"/>
                <w:i w:val="0"/>
                <w:sz w:val="17"/>
              </w:rPr>
              <w:t>Due diligence statement</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submission</w:t>
            </w:r>
          </w:p>
        </w:tc>
        <w:tc>
          <w:tcPr>
            <w:tcW w:type="dxa" w:w="2381"/>
          </w:tcPr>
          <w:p>
            <w:pPr>
              <w:spacing w:after="40" w:line="252" w:lineRule="auto"/>
            </w:pPr>
            <w:r>
              <w:rPr>
                <w:b w:val="0"/>
                <w:i w:val="0"/>
                <w:sz w:val="17"/>
              </w:rPr>
              <w:t>Art. 4(3); FAQ 5.8</w:t>
            </w:r>
          </w:p>
        </w:tc>
      </w:tr>
      <w:tr>
        <w:tc>
          <w:tcPr>
            <w:tcW w:type="dxa" w:w="2948"/>
          </w:tcPr>
          <w:p>
            <w:pPr>
              <w:spacing w:after="40" w:line="252" w:lineRule="auto"/>
            </w:pPr>
            <w:r>
              <w:rPr>
                <w:b w:val="0"/>
                <w:i w:val="0"/>
                <w:sz w:val="17"/>
              </w:rPr>
              <w:t>Information under Art. 9(1) with evidence</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making available on the market or export</w:t>
            </w:r>
          </w:p>
        </w:tc>
        <w:tc>
          <w:tcPr>
            <w:tcW w:type="dxa" w:w="2381"/>
          </w:tcPr>
          <w:p>
            <w:pPr>
              <w:spacing w:after="40" w:line="252" w:lineRule="auto"/>
            </w:pPr>
            <w:r>
              <w:rPr>
                <w:b w:val="0"/>
                <w:i w:val="0"/>
                <w:sz w:val="17"/>
              </w:rPr>
              <w:t>Art. 9(1); FAQ 5.8</w:t>
            </w:r>
          </w:p>
        </w:tc>
      </w:tr>
      <w:tr>
        <w:tc>
          <w:tcPr>
            <w:tcW w:type="dxa" w:w="2948"/>
          </w:tcPr>
          <w:p>
            <w:pPr>
              <w:spacing w:after="40" w:line="252" w:lineRule="auto"/>
            </w:pPr>
            <w:r>
              <w:rPr>
                <w:b w:val="0"/>
                <w:i w:val="0"/>
                <w:sz w:val="17"/>
              </w:rPr>
              <w:t>Risk assessment, mitigation decisions</w:t>
            </w:r>
          </w:p>
        </w:tc>
        <w:tc>
          <w:tcPr>
            <w:tcW w:type="dxa" w:w="1474"/>
          </w:tcPr>
          <w:p>
            <w:pPr>
              <w:spacing w:after="40" w:line="252" w:lineRule="auto"/>
            </w:pPr>
            <w:r>
              <w:rPr>
                <w:b w:val="0"/>
                <w:i w:val="0"/>
                <w:sz w:val="17"/>
              </w:rPr>
              <w:t>at least five years</w:t>
            </w:r>
          </w:p>
        </w:tc>
        <w:tc>
          <w:tcPr>
            <w:tcW w:type="dxa" w:w="2835"/>
          </w:tcPr>
          <w:p>
            <w:pPr>
              <w:spacing w:after="40" w:line="252" w:lineRule="auto"/>
            </w:pPr>
            <w:r>
              <w:rPr>
                <w:b w:val="0"/>
                <w:i w:val="0"/>
                <w:sz w:val="17"/>
              </w:rPr>
              <w:t>completion of the due diligence exercise (FAQ 5.8); if in doubt the later date</w:t>
            </w:r>
          </w:p>
        </w:tc>
        <w:tc>
          <w:tcPr>
            <w:tcW w:type="dxa" w:w="2381"/>
          </w:tcPr>
          <w:p>
            <w:pPr>
              <w:spacing w:after="40" w:line="252" w:lineRule="auto"/>
            </w:pPr>
            <w:r>
              <w:rPr>
                <w:b w:val="0"/>
                <w:i w:val="0"/>
                <w:sz w:val="17"/>
              </w:rPr>
              <w:t>Art. 10(4), Art. 11(3), Art. 12(5)</w:t>
            </w:r>
          </w:p>
        </w:tc>
      </w:tr>
      <w:tr>
        <w:tc>
          <w:tcPr>
            <w:tcW w:type="dxa" w:w="2948"/>
          </w:tcPr>
          <w:p>
            <w:pPr>
              <w:spacing w:after="40" w:line="252" w:lineRule="auto"/>
            </w:pPr>
            <w:r>
              <w:rPr>
                <w:b w:val="0"/>
                <w:i w:val="0"/>
                <w:sz w:val="17"/>
              </w:rPr>
              <w:t>Records of updates to the system</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update</w:t>
            </w:r>
          </w:p>
        </w:tc>
        <w:tc>
          <w:tcPr>
            <w:tcW w:type="dxa" w:w="2381"/>
          </w:tcPr>
          <w:p>
            <w:pPr>
              <w:spacing w:after="40" w:line="252" w:lineRule="auto"/>
            </w:pPr>
            <w:r>
              <w:rPr>
                <w:b w:val="0"/>
                <w:i w:val="0"/>
                <w:sz w:val="17"/>
              </w:rPr>
              <w:t>Art. 12(2)</w:t>
            </w:r>
          </w:p>
        </w:tc>
      </w:tr>
      <w:tr>
        <w:tc>
          <w:tcPr>
            <w:tcW w:type="dxa" w:w="2948"/>
          </w:tcPr>
          <w:p>
            <w:pPr>
              <w:spacing w:after="40" w:line="252" w:lineRule="auto"/>
            </w:pPr>
            <w:r>
              <w:rPr>
                <w:b w:val="0"/>
                <w:i w:val="0"/>
                <w:sz w:val="17"/>
              </w:rPr>
              <w:t>All other due diligence records</w:t>
            </w:r>
          </w:p>
        </w:tc>
        <w:tc>
          <w:tcPr>
            <w:tcW w:type="dxa" w:w="1474"/>
          </w:tcPr>
          <w:p>
            <w:pPr>
              <w:spacing w:after="40" w:line="252" w:lineRule="auto"/>
            </w:pPr>
            <w:r>
              <w:rPr>
                <w:b w:val="0"/>
                <w:i w:val="0"/>
                <w:sz w:val="17"/>
              </w:rPr>
              <w:t>at least five years</w:t>
            </w:r>
          </w:p>
        </w:tc>
        <w:tc>
          <w:tcPr>
            <w:tcW w:type="dxa" w:w="2835"/>
          </w:tcPr>
          <w:p>
            <w:pPr>
              <w:spacing w:after="40" w:line="252" w:lineRule="auto"/>
            </w:pPr>
            <w:r>
              <w:rPr>
                <w:b w:val="0"/>
                <w:i w:val="0"/>
                <w:sz w:val="17"/>
              </w:rPr>
              <w:t>not regulated; draft act 21/8278: creation</w:t>
            </w:r>
          </w:p>
        </w:tc>
        <w:tc>
          <w:tcPr>
            <w:tcW w:type="dxa" w:w="2381"/>
          </w:tcPr>
          <w:p>
            <w:pPr>
              <w:spacing w:after="40" w:line="252" w:lineRule="auto"/>
            </w:pPr>
            <w:r>
              <w:rPr>
                <w:b w:val="0"/>
                <w:i w:val="0"/>
                <w:sz w:val="17"/>
              </w:rPr>
              <w:t>Art. 12(5)</w:t>
            </w:r>
          </w:p>
        </w:tc>
      </w:tr>
      <w:tr>
        <w:tc>
          <w:tcPr>
            <w:tcW w:type="dxa" w:w="2948"/>
          </w:tcPr>
          <w:p>
            <w:pPr>
              <w:spacing w:after="40" w:line="252" w:lineRule="auto"/>
            </w:pPr>
            <w:r>
              <w:rPr>
                <w:b w:val="0"/>
                <w:i w:val="0"/>
                <w:sz w:val="17"/>
              </w:rPr>
              <w:t>Evidence of quantity correspondence for grouped statements</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last placing on the market</w:t>
            </w:r>
          </w:p>
        </w:tc>
        <w:tc>
          <w:tcPr>
            <w:tcW w:type="dxa" w:w="2381"/>
          </w:tcPr>
          <w:p>
            <w:pPr>
              <w:spacing w:after="40" w:line="252" w:lineRule="auto"/>
            </w:pPr>
            <w:r>
              <w:rPr>
                <w:b w:val="0"/>
                <w:i w:val="0"/>
                <w:sz w:val="17"/>
              </w:rPr>
              <w:t>FAQ 5.19 no. 5</w:t>
            </w:r>
          </w:p>
        </w:tc>
      </w:tr>
      <w:tr>
        <w:tc>
          <w:tcPr>
            <w:tcW w:type="dxa" w:w="2948"/>
          </w:tcPr>
          <w:p>
            <w:pPr>
              <w:spacing w:after="40" w:line="252" w:lineRule="auto"/>
            </w:pPr>
            <w:r>
              <w:rPr>
                <w:b w:val="0"/>
                <w:i w:val="0"/>
                <w:sz w:val="17"/>
              </w:rPr>
              <w:t>Information as a trader or downstream operator</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placing on the market, making available or export</w:t>
            </w:r>
          </w:p>
        </w:tc>
        <w:tc>
          <w:tcPr>
            <w:tcW w:type="dxa" w:w="2381"/>
          </w:tcPr>
          <w:p>
            <w:pPr>
              <w:spacing w:after="40" w:line="252" w:lineRule="auto"/>
            </w:pPr>
            <w:r>
              <w:rPr>
                <w:b w:val="0"/>
                <w:i w:val="0"/>
                <w:sz w:val="17"/>
              </w:rPr>
              <w:t>Art. 5(4)</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Checks are as a rule carried out without prior notice (Art. 16(13)). For Art. 12(5) the Regulation sets no start date; the German draft act says “from their creation” (printed paper 21/8278, section 14(1) no. 11), Commission FAQ 5.8 says “after the due diligence exercise” for records of measures; if in doubt choose the longer period. The information system stores only the statement, not assessments and evidence, and personal data in it for no more than five years (Art. 12(5) of Implementing Regulation (EU) 2024/3084 as amended by 2026/1565). Checklist for the day of a check: polygon-one.com/en/eudr-germany-enforcement-penalties.</w:t>
            </w:r>
          </w:p>
        </w:tc>
      </w:tr>
    </w:tbl>
    <w:p>
      <w:pPr>
        <w:spacing w:after="40"/>
      </w:pPr>
    </w:p>
    <w:p>
      <w:r>
        <w:rPr>
          <w:b/>
          <w:sz w:val="18"/>
        </w:rPr>
        <w:t xml:space="preserve">Evidence in the file: </w:t>
      </w:r>
      <w:r>
        <w:rPr>
          <w:b w:val="0"/>
          <w:i w:val="0"/>
          <w:sz w:val="18"/>
        </w:rPr>
        <w:t xml:space="preserve">Filing plan, one complete sample file; filed at: </w:t>
      </w:r>
      <w:r>
        <w:rPr>
          <w:b w:val="0"/>
          <w:i w:val="0"/>
          <w:sz w:val="18"/>
          <w:shd w:val="clear" w:color="auto" w:fill="E3E3E3"/>
        </w:rPr>
        <w:t>[location, document]</w:t>
      </w:r>
    </w:p>
    <w:p>
      <w:pPr>
        <w:pStyle w:val="Heading2"/>
      </w:pPr>
      <w:r>
        <w:t>Building block 12: Review, update, public report</w:t>
      </w:r>
    </w:p>
    <w:p>
      <w:r>
        <w:rPr>
          <w:b/>
          <w:sz w:val="18"/>
        </w:rPr>
        <w:t xml:space="preserve">Legal basis: </w:t>
      </w:r>
      <w:r>
        <w:rPr>
          <w:b w:val="0"/>
          <w:i w:val="0"/>
          <w:sz w:val="18"/>
        </w:rPr>
        <w:t>Art. 12(2) to (4); Commission guidelines section 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Annual review</w:t>
            </w:r>
          </w:p>
        </w:tc>
        <w:tc>
          <w:tcPr>
            <w:tcW w:type="dxa" w:w="7030"/>
          </w:tcPr>
          <w:p>
            <w:pPr>
              <w:spacing w:after="40" w:line="252" w:lineRule="auto"/>
            </w:pPr>
            <w:r>
              <w:rPr>
                <w:b w:val="0"/>
                <w:i w:val="0"/>
                <w:sz w:val="18"/>
                <w:shd w:val="clear" w:color="auto" w:fill="E3E3E3"/>
              </w:rPr>
              <w:t>[date, reviewer (independent of those carrying out the procedures, or external), review points under Annex F, result, weaknesses with deadline set by management]</w:t>
            </w:r>
          </w:p>
        </w:tc>
      </w:tr>
      <w:tr>
        <w:tc>
          <w:tcPr>
            <w:tcW w:type="dxa" w:w="2608"/>
          </w:tcPr>
          <w:p>
            <w:pPr>
              <w:spacing w:after="40" w:line="252" w:lineRule="auto"/>
            </w:pPr>
            <w:r>
              <w:rPr>
                <w:b/>
                <w:i w:val="0"/>
                <w:sz w:val="18"/>
              </w:rPr>
              <w:t>Triggers for an immediate update</w:t>
            </w:r>
          </w:p>
        </w:tc>
        <w:tc>
          <w:tcPr>
            <w:tcW w:type="dxa" w:w="7030"/>
          </w:tcPr>
          <w:p>
            <w:pPr>
              <w:spacing w:after="40" w:line="252" w:lineRule="auto"/>
            </w:pPr>
            <w:r>
              <w:rPr>
                <w:b w:val="0"/>
                <w:i w:val="0"/>
                <w:sz w:val="18"/>
                <w:shd w:val="clear" w:color="auto" w:fill="E3E3E3"/>
              </w:rPr>
              <w:t>[new country list, change to Annex I, new version of the guidelines or FAQ, new suppliers, countries of production or products, finding from a check, substantiated concerns, finding of the audit function, entry into force of the German implementing act, change of size class]</w:t>
            </w:r>
          </w:p>
        </w:tc>
      </w:tr>
      <w:tr>
        <w:tc>
          <w:tcPr>
            <w:tcW w:type="dxa" w:w="2608"/>
          </w:tcPr>
          <w:p>
            <w:pPr>
              <w:spacing w:after="40" w:line="252" w:lineRule="auto"/>
            </w:pPr>
            <w:r>
              <w:rPr>
                <w:b/>
                <w:i w:val="0"/>
                <w:sz w:val="18"/>
              </w:rPr>
              <w:t>Change log</w:t>
            </w:r>
          </w:p>
        </w:tc>
        <w:tc>
          <w:tcPr>
            <w:tcW w:type="dxa" w:w="7030"/>
          </w:tcPr>
          <w:p>
            <w:pPr>
              <w:spacing w:after="40" w:line="252" w:lineRule="auto"/>
            </w:pPr>
            <w:r>
              <w:rPr>
                <w:b w:val="0"/>
                <w:i w:val="0"/>
                <w:sz w:val="18"/>
                <w:shd w:val="clear" w:color="auto" w:fill="E3E3E3"/>
              </w:rPr>
              <w:t>[see document control at the beginning; kept for five years]</w:t>
            </w:r>
          </w:p>
        </w:tc>
      </w:tr>
      <w:tr>
        <w:tc>
          <w:tcPr>
            <w:tcW w:type="dxa" w:w="2608"/>
          </w:tcPr>
          <w:p>
            <w:pPr>
              <w:spacing w:after="40" w:line="252" w:lineRule="auto"/>
            </w:pPr>
            <w:r>
              <w:rPr>
                <w:b/>
                <w:i w:val="0"/>
                <w:sz w:val="18"/>
              </w:rPr>
              <w:t>Public report (non-SMEs only)</w:t>
            </w:r>
          </w:p>
        </w:tc>
        <w:tc>
          <w:tcPr>
            <w:tcW w:type="dxa" w:w="7030"/>
          </w:tcPr>
          <w:p>
            <w:pPr>
              <w:spacing w:after="40" w:line="252" w:lineRule="auto"/>
            </w:pPr>
            <w:r>
              <w:rPr>
                <w:b w:val="0"/>
                <w:i w:val="0"/>
                <w:sz w:val="18"/>
                <w:shd w:val="clear" w:color="auto" w:fill="E3E3E3"/>
              </w:rPr>
              <w:t>[reporting year, date, channel, responsible, content under Art. 12(4)(a) to (c) (Annex G), data protection check, approval]</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The guidelines recommend review points, an independent reviewer, deadlines set by management and documentation in section 8. First report for the year 2027, published after 30 December 2027 (Commission FAQ 5.14). A report under other Union legal acts on value chain due diligence can carry it (Art. 12(3), second sentence); the Commission names CSDDD and CSRD (FAQ 5.14). Art. 12(4) does not require supplier names; data protection takes precedence.</w:t>
            </w:r>
          </w:p>
        </w:tc>
      </w:tr>
    </w:tbl>
    <w:p>
      <w:pPr>
        <w:spacing w:after="40"/>
      </w:pPr>
    </w:p>
    <w:p>
      <w:r>
        <w:rPr>
          <w:b/>
          <w:sz w:val="18"/>
        </w:rPr>
        <w:t xml:space="preserve">Evidence in the file: </w:t>
      </w:r>
      <w:r>
        <w:rPr>
          <w:b w:val="0"/>
          <w:i w:val="0"/>
          <w:sz w:val="18"/>
        </w:rPr>
        <w:t xml:space="preserve">Review record (Annex F), change log, published report; filed at: </w:t>
      </w:r>
      <w:r>
        <w:rPr>
          <w:b w:val="0"/>
          <w:i w:val="0"/>
          <w:sz w:val="18"/>
          <w:shd w:val="clear" w:color="auto" w:fill="E3E3E3"/>
        </w:rPr>
        <w:t>[location, document]</w:t>
      </w:r>
    </w:p>
    <w:p>
      <w:pPr>
        <w:pStyle w:val="Heading1"/>
      </w:pPr>
      <w:r>
        <w:t>Annexes</w:t>
      </w:r>
    </w:p>
    <w:p>
      <w:pPr>
        <w:pStyle w:val="Heading2"/>
      </w:pPr>
      <w:r>
        <w:t>Annex A: Obligations as a trader or downstream operator (Art. 5)</w:t>
      </w:r>
    </w:p>
    <w:p>
      <w:r>
        <w:rPr>
          <w:b w:val="0"/>
          <w:i w:val="0"/>
          <w:sz w:val="18"/>
        </w:rPr>
        <w:t>Only fill in if you also buy products that another operator has already placed on the market. Article 12 does not apply to these routes.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1361"/>
        <w:gridCol w:w="1474"/>
        <w:gridCol w:w="3175"/>
      </w:tblGrid>
      <w:tr>
        <w:trPr>
          <w:tblHeader w:val="true"/>
        </w:trPr>
        <w:tc>
          <w:tcPr>
            <w:tcW w:type="dxa" w:w="3628"/>
            <w:shd w:val="clear" w:color="auto" w:fill="D9E2EC"/>
          </w:tcPr>
          <w:p>
            <w:pPr>
              <w:spacing w:after="40" w:line="252" w:lineRule="auto"/>
            </w:pPr>
            <w:r>
              <w:rPr>
                <w:b/>
                <w:i w:val="0"/>
                <w:sz w:val="17"/>
              </w:rPr>
              <w:t>Obligation</w:t>
            </w:r>
          </w:p>
        </w:tc>
        <w:tc>
          <w:tcPr>
            <w:tcW w:type="dxa" w:w="1361"/>
            <w:shd w:val="clear" w:color="auto" w:fill="D9E2EC"/>
          </w:tcPr>
          <w:p>
            <w:pPr>
              <w:spacing w:after="40" w:line="252" w:lineRule="auto"/>
            </w:pPr>
            <w:r>
              <w:rPr>
                <w:b/>
                <w:i w:val="0"/>
                <w:sz w:val="17"/>
              </w:rPr>
              <w:t>Legal source</w:t>
            </w:r>
          </w:p>
        </w:tc>
        <w:tc>
          <w:tcPr>
            <w:tcW w:type="dxa" w:w="1474"/>
            <w:shd w:val="clear" w:color="auto" w:fill="D9E2EC"/>
          </w:tcPr>
          <w:p>
            <w:pPr>
              <w:spacing w:after="40" w:line="252" w:lineRule="auto"/>
            </w:pPr>
            <w:r>
              <w:rPr>
                <w:b/>
                <w:i w:val="0"/>
                <w:sz w:val="17"/>
              </w:rPr>
              <w:t>applies to</w:t>
            </w:r>
          </w:p>
        </w:tc>
        <w:tc>
          <w:tcPr>
            <w:tcW w:type="dxa" w:w="3175"/>
            <w:shd w:val="clear" w:color="auto" w:fill="D9E2EC"/>
          </w:tcPr>
          <w:p>
            <w:pPr>
              <w:spacing w:after="40" w:line="252" w:lineRule="auto"/>
            </w:pPr>
            <w:r>
              <w:rPr>
                <w:b/>
                <w:i w:val="0"/>
                <w:sz w:val="17"/>
              </w:rPr>
              <w:t>Implementation in the company</w:t>
            </w:r>
          </w:p>
        </w:tc>
      </w:tr>
      <w:tr>
        <w:tc>
          <w:tcPr>
            <w:tcW w:type="dxa" w:w="3628"/>
          </w:tcPr>
          <w:p>
            <w:pPr>
              <w:spacing w:after="40" w:line="252" w:lineRule="auto"/>
            </w:pPr>
            <w:r>
              <w:rPr>
                <w:b w:val="0"/>
                <w:i w:val="0"/>
                <w:sz w:val="17"/>
              </w:rPr>
              <w:t>Details of suppliers and customers (name, address, email); reference numbers where the supplier is an operator</w:t>
            </w:r>
          </w:p>
        </w:tc>
        <w:tc>
          <w:tcPr>
            <w:tcW w:type="dxa" w:w="1361"/>
          </w:tcPr>
          <w:p>
            <w:pPr>
              <w:spacing w:after="40" w:line="252" w:lineRule="auto"/>
            </w:pPr>
            <w:r>
              <w:rPr>
                <w:b w:val="0"/>
                <w:i w:val="0"/>
                <w:sz w:val="17"/>
              </w:rPr>
              <w:t>Art. 5(3)</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shd w:val="clear" w:color="auto" w:fill="E3E3E3"/>
              </w:rPr>
              <w:t>[where recorded, who]</w:t>
            </w:r>
          </w:p>
        </w:tc>
      </w:tr>
      <w:tr>
        <w:tc>
          <w:tcPr>
            <w:tcW w:type="dxa" w:w="3628"/>
          </w:tcPr>
          <w:p>
            <w:pPr>
              <w:spacing w:after="40" w:line="252" w:lineRule="auto"/>
            </w:pPr>
            <w:r>
              <w:rPr>
                <w:b w:val="0"/>
                <w:i w:val="0"/>
                <w:sz w:val="17"/>
              </w:rPr>
              <w:t>Keeping the information</w:t>
            </w:r>
          </w:p>
        </w:tc>
        <w:tc>
          <w:tcPr>
            <w:tcW w:type="dxa" w:w="1361"/>
          </w:tcPr>
          <w:p>
            <w:pPr>
              <w:spacing w:after="40" w:line="252" w:lineRule="auto"/>
            </w:pPr>
            <w:r>
              <w:rPr>
                <w:b w:val="0"/>
                <w:i w:val="0"/>
                <w:sz w:val="17"/>
              </w:rPr>
              <w:t>Art. 5(4)</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shd w:val="clear" w:color="auto" w:fill="E3E3E3"/>
              </w:rPr>
              <w:t>[five years; location]</w:t>
            </w:r>
          </w:p>
        </w:tc>
      </w:tr>
      <w:tr>
        <w:tc>
          <w:tcPr>
            <w:tcW w:type="dxa" w:w="3628"/>
          </w:tcPr>
          <w:p>
            <w:pPr>
              <w:spacing w:after="40" w:line="252" w:lineRule="auto"/>
            </w:pPr>
            <w:r>
              <w:rPr>
                <w:b w:val="0"/>
                <w:i w:val="0"/>
                <w:sz w:val="17"/>
              </w:rPr>
              <w:t>Informing on new information</w:t>
            </w:r>
          </w:p>
        </w:tc>
        <w:tc>
          <w:tcPr>
            <w:tcW w:type="dxa" w:w="1361"/>
          </w:tcPr>
          <w:p>
            <w:pPr>
              <w:spacing w:after="40" w:line="252" w:lineRule="auto"/>
            </w:pPr>
            <w:r>
              <w:rPr>
                <w:b w:val="0"/>
                <w:i w:val="0"/>
                <w:sz w:val="17"/>
              </w:rPr>
              <w:t>Art. 5(5)</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shd w:val="clear" w:color="auto" w:fill="E3E3E3"/>
              </w:rPr>
              <w:t>[who notifies whom]</w:t>
            </w:r>
          </w:p>
        </w:tc>
      </w:tr>
      <w:tr>
        <w:tc>
          <w:tcPr>
            <w:tcW w:type="dxa" w:w="3628"/>
          </w:tcPr>
          <w:p>
            <w:pPr>
              <w:spacing w:after="40" w:line="252" w:lineRule="auto"/>
            </w:pPr>
            <w:r>
              <w:rPr>
                <w:b w:val="0"/>
                <w:i w:val="0"/>
                <w:sz w:val="17"/>
              </w:rPr>
              <w:t>Registration in the information system</w:t>
            </w:r>
          </w:p>
        </w:tc>
        <w:tc>
          <w:tcPr>
            <w:tcW w:type="dxa" w:w="1361"/>
          </w:tcPr>
          <w:p>
            <w:pPr>
              <w:spacing w:after="40" w:line="252" w:lineRule="auto"/>
            </w:pPr>
            <w:r>
              <w:rPr>
                <w:b w:val="0"/>
                <w:i w:val="0"/>
                <w:sz w:val="17"/>
              </w:rPr>
              <w:t>Art. 5(2)</w:t>
            </w:r>
          </w:p>
        </w:tc>
        <w:tc>
          <w:tcPr>
            <w:tcW w:type="dxa" w:w="1474"/>
          </w:tcPr>
          <w:p>
            <w:pPr>
              <w:spacing w:after="40" w:line="252" w:lineRule="auto"/>
            </w:pPr>
            <w:r>
              <w:rPr>
                <w:b w:val="0"/>
                <w:i w:val="0"/>
                <w:sz w:val="17"/>
              </w:rPr>
              <w:t>non-SMEs only</w:t>
            </w:r>
          </w:p>
        </w:tc>
        <w:tc>
          <w:tcPr>
            <w:tcW w:type="dxa" w:w="3175"/>
          </w:tcPr>
          <w:p>
            <w:pPr>
              <w:spacing w:after="40" w:line="252" w:lineRule="auto"/>
            </w:pPr>
            <w:r>
              <w:rPr>
                <w:b w:val="0"/>
                <w:i w:val="0"/>
                <w:sz w:val="17"/>
                <w:shd w:val="clear" w:color="auto" w:fill="E3E3E3"/>
              </w:rPr>
              <w:t>[identifier, date]</w:t>
            </w:r>
          </w:p>
        </w:tc>
      </w:tr>
      <w:tr>
        <w:tc>
          <w:tcPr>
            <w:tcW w:type="dxa" w:w="3628"/>
          </w:tcPr>
          <w:p>
            <w:pPr>
              <w:spacing w:after="40" w:line="252" w:lineRule="auto"/>
            </w:pPr>
            <w:r>
              <w:rPr>
                <w:b w:val="0"/>
                <w:i w:val="0"/>
                <w:sz w:val="17"/>
              </w:rPr>
              <w:t>Check on substantiated concerns</w:t>
            </w:r>
          </w:p>
        </w:tc>
        <w:tc>
          <w:tcPr>
            <w:tcW w:type="dxa" w:w="1361"/>
          </w:tcPr>
          <w:p>
            <w:pPr>
              <w:spacing w:after="40" w:line="252" w:lineRule="auto"/>
            </w:pPr>
            <w:r>
              <w:rPr>
                <w:b w:val="0"/>
                <w:i w:val="0"/>
                <w:sz w:val="17"/>
              </w:rPr>
              <w:t>Art. 5(6)</w:t>
            </w:r>
          </w:p>
        </w:tc>
        <w:tc>
          <w:tcPr>
            <w:tcW w:type="dxa" w:w="1474"/>
          </w:tcPr>
          <w:p>
            <w:pPr>
              <w:spacing w:after="40" w:line="252" w:lineRule="auto"/>
            </w:pPr>
            <w:r>
              <w:rPr>
                <w:b w:val="0"/>
                <w:i w:val="0"/>
                <w:sz w:val="17"/>
              </w:rPr>
              <w:t>non-SMEs only</w:t>
            </w:r>
          </w:p>
        </w:tc>
        <w:tc>
          <w:tcPr>
            <w:tcW w:type="dxa" w:w="3175"/>
          </w:tcPr>
          <w:p>
            <w:pPr>
              <w:spacing w:after="40" w:line="252" w:lineRule="auto"/>
            </w:pPr>
            <w:r>
              <w:rPr>
                <w:b w:val="0"/>
                <w:i w:val="0"/>
                <w:sz w:val="17"/>
                <w:shd w:val="clear" w:color="auto" w:fill="E3E3E3"/>
              </w:rPr>
              <w:t>[who checks, how]</w:t>
            </w:r>
          </w:p>
        </w:tc>
      </w:tr>
    </w:tbl>
    <w:p>
      <w:pPr>
        <w:spacing w:after="40"/>
      </w:pPr>
    </w:p>
    <w:p>
      <w:pPr>
        <w:pStyle w:val="Heading2"/>
      </w:pPr>
      <w:r>
        <w:t>Annex B: Product list</w:t>
      </w:r>
    </w:p>
    <w:p>
      <w:r>
        <w:rPr>
          <w:b w:val="0"/>
          <w:i w:val="0"/>
          <w:sz w:val="18"/>
        </w:rPr>
        <w:t>One row per product or product group; state the date.</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10"/>
        <w:gridCol w:w="1474"/>
        <w:gridCol w:w="2041"/>
        <w:gridCol w:w="2041"/>
        <w:gridCol w:w="737"/>
        <w:gridCol w:w="1247"/>
        <w:gridCol w:w="1587"/>
      </w:tblGrid>
      <w:tr>
        <w:trPr>
          <w:tblHeader w:val="true"/>
        </w:trPr>
        <w:tc>
          <w:tcPr>
            <w:tcW w:type="dxa" w:w="510"/>
            <w:shd w:val="clear" w:color="auto" w:fill="D9E2EC"/>
          </w:tcPr>
          <w:p>
            <w:pPr>
              <w:spacing w:after="40" w:line="252" w:lineRule="auto"/>
            </w:pPr>
            <w:r>
              <w:rPr>
                <w:b/>
                <w:i w:val="0"/>
                <w:sz w:val="17"/>
              </w:rPr>
              <w:t>No.</w:t>
            </w:r>
          </w:p>
        </w:tc>
        <w:tc>
          <w:tcPr>
            <w:tcW w:type="dxa" w:w="1474"/>
            <w:shd w:val="clear" w:color="auto" w:fill="D9E2EC"/>
          </w:tcPr>
          <w:p>
            <w:pPr>
              <w:spacing w:after="40" w:line="252" w:lineRule="auto"/>
            </w:pPr>
            <w:r>
              <w:rPr>
                <w:b/>
                <w:i w:val="0"/>
                <w:sz w:val="17"/>
              </w:rPr>
              <w:t>Code under Annex I</w:t>
            </w:r>
          </w:p>
        </w:tc>
        <w:tc>
          <w:tcPr>
            <w:tcW w:type="dxa" w:w="2041"/>
            <w:shd w:val="clear" w:color="auto" w:fill="D9E2EC"/>
          </w:tcPr>
          <w:p>
            <w:pPr>
              <w:spacing w:after="40" w:line="252" w:lineRule="auto"/>
            </w:pPr>
            <w:r>
              <w:rPr>
                <w:b/>
                <w:i w:val="0"/>
                <w:sz w:val="17"/>
              </w:rPr>
              <w:t>Description</w:t>
            </w:r>
          </w:p>
        </w:tc>
        <w:tc>
          <w:tcPr>
            <w:tcW w:type="dxa" w:w="2041"/>
            <w:shd w:val="clear" w:color="auto" w:fill="D9E2EC"/>
          </w:tcPr>
          <w:p>
            <w:pPr>
              <w:spacing w:after="40" w:line="252" w:lineRule="auto"/>
            </w:pPr>
            <w:r>
              <w:rPr>
                <w:b/>
                <w:i w:val="0"/>
                <w:sz w:val="17"/>
              </w:rPr>
              <w:t>Commodity, species</w:t>
            </w:r>
          </w:p>
        </w:tc>
        <w:tc>
          <w:tcPr>
            <w:tcW w:type="dxa" w:w="737"/>
            <w:shd w:val="clear" w:color="auto" w:fill="D9E2EC"/>
          </w:tcPr>
          <w:p>
            <w:pPr>
              <w:spacing w:after="40" w:line="252" w:lineRule="auto"/>
            </w:pPr>
            <w:r>
              <w:rPr>
                <w:b/>
                <w:i w:val="0"/>
                <w:sz w:val="17"/>
              </w:rPr>
              <w:t>Route</w:t>
            </w:r>
          </w:p>
        </w:tc>
        <w:tc>
          <w:tcPr>
            <w:tcW w:type="dxa" w:w="1247"/>
            <w:shd w:val="clear" w:color="auto" w:fill="D9E2EC"/>
          </w:tcPr>
          <w:p>
            <w:pPr>
              <w:spacing w:after="40" w:line="252" w:lineRule="auto"/>
            </w:pPr>
            <w:r>
              <w:rPr>
                <w:b/>
                <w:i w:val="0"/>
                <w:sz w:val="17"/>
              </w:rPr>
              <w:t>applies from</w:t>
            </w:r>
          </w:p>
        </w:tc>
        <w:tc>
          <w:tcPr>
            <w:tcW w:type="dxa" w:w="1587"/>
            <w:shd w:val="clear" w:color="auto" w:fill="D9E2EC"/>
          </w:tcPr>
          <w:p>
            <w:pPr>
              <w:spacing w:after="40" w:line="252" w:lineRule="auto"/>
            </w:pPr>
            <w:r>
              <w:rPr>
                <w:b/>
                <w:i w:val="0"/>
                <w:sz w:val="17"/>
              </w:rPr>
              <w:t>EUTR Annex</w:t>
            </w: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bl>
    <w:p>
      <w:pPr>
        <w:spacing w:after="40"/>
      </w:pPr>
    </w:p>
    <w:p>
      <w:pPr>
        <w:pStyle w:val="Heading2"/>
      </w:pPr>
      <w:r>
        <w:t>Annex C: Sourcing routes and roles</w:t>
      </w:r>
    </w:p>
    <w:p>
      <w:r>
        <w:rPr>
          <w:b w:val="0"/>
          <w:i w:val="0"/>
          <w:sz w:val="18"/>
        </w:rPr>
        <w:t>One row per sourcing route; role and scope of obligations with reasons.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474"/>
        <w:gridCol w:w="1928"/>
        <w:gridCol w:w="2041"/>
        <w:gridCol w:w="2268"/>
        <w:gridCol w:w="1928"/>
      </w:tblGrid>
      <w:tr>
        <w:trPr>
          <w:tblHeader w:val="true"/>
        </w:trPr>
        <w:tc>
          <w:tcPr>
            <w:tcW w:type="dxa" w:w="1474"/>
            <w:shd w:val="clear" w:color="auto" w:fill="D9E2EC"/>
          </w:tcPr>
          <w:p>
            <w:pPr>
              <w:spacing w:after="40" w:line="252" w:lineRule="auto"/>
            </w:pPr>
            <w:r>
              <w:rPr>
                <w:b/>
                <w:i w:val="0"/>
                <w:sz w:val="17"/>
              </w:rPr>
              <w:t>Route</w:t>
            </w:r>
          </w:p>
        </w:tc>
        <w:tc>
          <w:tcPr>
            <w:tcW w:type="dxa" w:w="1928"/>
            <w:shd w:val="clear" w:color="auto" w:fill="D9E2EC"/>
          </w:tcPr>
          <w:p>
            <w:pPr>
              <w:spacing w:after="40" w:line="252" w:lineRule="auto"/>
            </w:pPr>
            <w:r>
              <w:rPr>
                <w:b/>
                <w:i w:val="0"/>
                <w:sz w:val="17"/>
              </w:rPr>
              <w:t>Products, suppliers</w:t>
            </w:r>
          </w:p>
        </w:tc>
        <w:tc>
          <w:tcPr>
            <w:tcW w:type="dxa" w:w="2041"/>
            <w:shd w:val="clear" w:color="auto" w:fill="D9E2EC"/>
          </w:tcPr>
          <w:p>
            <w:pPr>
              <w:spacing w:after="40" w:line="252" w:lineRule="auto"/>
            </w:pPr>
            <w:r>
              <w:rPr>
                <w:b/>
                <w:i w:val="0"/>
                <w:sz w:val="17"/>
              </w:rPr>
              <w:t>Country of production, country risk (date)</w:t>
            </w:r>
          </w:p>
        </w:tc>
        <w:tc>
          <w:tcPr>
            <w:tcW w:type="dxa" w:w="2268"/>
            <w:shd w:val="clear" w:color="auto" w:fill="D9E2EC"/>
          </w:tcPr>
          <w:p>
            <w:pPr>
              <w:spacing w:after="40" w:line="252" w:lineRule="auto"/>
            </w:pPr>
            <w:r>
              <w:rPr>
                <w:b/>
                <w:i w:val="0"/>
                <w:sz w:val="17"/>
              </w:rPr>
              <w:t>Role, scope of obligations</w:t>
            </w:r>
          </w:p>
        </w:tc>
        <w:tc>
          <w:tcPr>
            <w:tcW w:type="dxa" w:w="1928"/>
            <w:shd w:val="clear" w:color="auto" w:fill="D9E2EC"/>
          </w:tcPr>
          <w:p>
            <w:pPr>
              <w:spacing w:after="40" w:line="252" w:lineRule="auto"/>
            </w:pPr>
            <w:r>
              <w:rPr>
                <w:b/>
                <w:i w:val="0"/>
                <w:sz w:val="17"/>
              </w:rPr>
              <w:t>Reasons, checked on, by</w:t>
            </w: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bl>
    <w:p>
      <w:pPr>
        <w:spacing w:after="40"/>
      </w:pPr>
    </w:p>
    <w:p>
      <w:pPr>
        <w:pStyle w:val="Heading2"/>
      </w:pPr>
      <w:r>
        <w:t>Annex D: Responsibility matrix</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494"/>
        <w:gridCol w:w="794"/>
        <w:gridCol w:w="794"/>
        <w:gridCol w:w="794"/>
        <w:gridCol w:w="794"/>
        <w:gridCol w:w="794"/>
        <w:gridCol w:w="794"/>
        <w:gridCol w:w="794"/>
        <w:gridCol w:w="794"/>
        <w:gridCol w:w="794"/>
      </w:tblGrid>
      <w:tr>
        <w:trPr>
          <w:tblHeader w:val="true"/>
        </w:trPr>
        <w:tc>
          <w:tcPr>
            <w:tcW w:type="dxa" w:w="2494"/>
            <w:shd w:val="clear" w:color="auto" w:fill="D9E2EC"/>
          </w:tcPr>
          <w:p>
            <w:pPr>
              <w:spacing w:after="40" w:line="252" w:lineRule="auto"/>
            </w:pPr>
            <w:r>
              <w:rPr>
                <w:b/>
                <w:i w:val="0"/>
                <w:sz w:val="16"/>
              </w:rPr>
              <w:t>Task</w:t>
            </w:r>
          </w:p>
        </w:tc>
        <w:tc>
          <w:tcPr>
            <w:tcW w:type="dxa" w:w="794"/>
            <w:shd w:val="clear" w:color="auto" w:fill="D9E2EC"/>
          </w:tcPr>
          <w:p>
            <w:pPr>
              <w:spacing w:after="40" w:line="252" w:lineRule="auto"/>
            </w:pPr>
            <w:r>
              <w:rPr>
                <w:b/>
                <w:i w:val="0"/>
                <w:sz w:val="16"/>
              </w:rPr>
              <w:t>MGT</w:t>
            </w:r>
          </w:p>
        </w:tc>
        <w:tc>
          <w:tcPr>
            <w:tcW w:type="dxa" w:w="794"/>
            <w:shd w:val="clear" w:color="auto" w:fill="D9E2EC"/>
          </w:tcPr>
          <w:p>
            <w:pPr>
              <w:spacing w:after="40" w:line="252" w:lineRule="auto"/>
            </w:pPr>
            <w:r>
              <w:rPr>
                <w:b/>
                <w:i w:val="0"/>
                <w:sz w:val="16"/>
              </w:rPr>
              <w:t>CO</w:t>
            </w:r>
          </w:p>
        </w:tc>
        <w:tc>
          <w:tcPr>
            <w:tcW w:type="dxa" w:w="794"/>
            <w:shd w:val="clear" w:color="auto" w:fill="D9E2EC"/>
          </w:tcPr>
          <w:p>
            <w:pPr>
              <w:spacing w:after="40" w:line="252" w:lineRule="auto"/>
            </w:pPr>
            <w:r>
              <w:rPr>
                <w:b/>
                <w:i w:val="0"/>
                <w:sz w:val="16"/>
              </w:rPr>
              <w:t>PUR</w:t>
            </w:r>
          </w:p>
        </w:tc>
        <w:tc>
          <w:tcPr>
            <w:tcW w:type="dxa" w:w="794"/>
            <w:shd w:val="clear" w:color="auto" w:fill="D9E2EC"/>
          </w:tcPr>
          <w:p>
            <w:pPr>
              <w:spacing w:after="40" w:line="252" w:lineRule="auto"/>
            </w:pPr>
            <w:r>
              <w:rPr>
                <w:b/>
                <w:i w:val="0"/>
                <w:sz w:val="16"/>
              </w:rPr>
              <w:t>QS</w:t>
            </w:r>
          </w:p>
        </w:tc>
        <w:tc>
          <w:tcPr>
            <w:tcW w:type="dxa" w:w="794"/>
            <w:shd w:val="clear" w:color="auto" w:fill="D9E2EC"/>
          </w:tcPr>
          <w:p>
            <w:pPr>
              <w:spacing w:after="40" w:line="252" w:lineRule="auto"/>
            </w:pPr>
            <w:r>
              <w:rPr>
                <w:b/>
                <w:i w:val="0"/>
                <w:sz w:val="16"/>
              </w:rPr>
              <w:t>CL</w:t>
            </w:r>
          </w:p>
        </w:tc>
        <w:tc>
          <w:tcPr>
            <w:tcW w:type="dxa" w:w="794"/>
            <w:shd w:val="clear" w:color="auto" w:fill="D9E2EC"/>
          </w:tcPr>
          <w:p>
            <w:pPr>
              <w:spacing w:after="40" w:line="252" w:lineRule="auto"/>
            </w:pPr>
            <w:r>
              <w:rPr>
                <w:b/>
                <w:i w:val="0"/>
                <w:sz w:val="16"/>
              </w:rPr>
              <w:t>WH</w:t>
            </w:r>
          </w:p>
        </w:tc>
        <w:tc>
          <w:tcPr>
            <w:tcW w:type="dxa" w:w="794"/>
            <w:shd w:val="clear" w:color="auto" w:fill="D9E2EC"/>
          </w:tcPr>
          <w:p>
            <w:pPr>
              <w:spacing w:after="40" w:line="252" w:lineRule="auto"/>
            </w:pPr>
            <w:r>
              <w:rPr>
                <w:b/>
                <w:i w:val="0"/>
                <w:sz w:val="16"/>
              </w:rPr>
              <w:t>SAL</w:t>
            </w:r>
          </w:p>
        </w:tc>
        <w:tc>
          <w:tcPr>
            <w:tcW w:type="dxa" w:w="794"/>
            <w:shd w:val="clear" w:color="auto" w:fill="D9E2EC"/>
          </w:tcPr>
          <w:p>
            <w:pPr>
              <w:spacing w:after="40" w:line="252" w:lineRule="auto"/>
            </w:pPr>
            <w:r>
              <w:rPr>
                <w:b/>
                <w:i w:val="0"/>
                <w:sz w:val="16"/>
              </w:rPr>
              <w:t>IT</w:t>
            </w:r>
          </w:p>
        </w:tc>
        <w:tc>
          <w:tcPr>
            <w:tcW w:type="dxa" w:w="794"/>
            <w:shd w:val="clear" w:color="auto" w:fill="D9E2EC"/>
          </w:tcPr>
          <w:p>
            <w:pPr>
              <w:spacing w:after="40" w:line="252" w:lineRule="auto"/>
            </w:pPr>
            <w:r>
              <w:rPr>
                <w:b/>
                <w:i w:val="0"/>
                <w:sz w:val="16"/>
              </w:rPr>
              <w:t>AUD</w:t>
            </w:r>
          </w:p>
        </w:tc>
      </w:tr>
      <w:tr>
        <w:tc>
          <w:tcPr>
            <w:tcW w:type="dxa" w:w="2494"/>
          </w:tcPr>
          <w:p>
            <w:pPr>
              <w:spacing w:after="40" w:line="252" w:lineRule="auto"/>
            </w:pPr>
            <w:r>
              <w:rPr>
                <w:b w:val="0"/>
                <w:i w:val="0"/>
                <w:sz w:val="16"/>
              </w:rPr>
              <w:t>Approve the system</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r>
      <w:tr>
        <w:tc>
          <w:tcPr>
            <w:tcW w:type="dxa" w:w="2494"/>
          </w:tcPr>
          <w:p>
            <w:pPr>
              <w:spacing w:after="40" w:line="252" w:lineRule="auto"/>
            </w:pPr>
            <w:r>
              <w:rPr>
                <w:b w:val="0"/>
                <w:i w:val="0"/>
                <w:sz w:val="16"/>
              </w:rPr>
              <w:t>Define roles and products</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Request information from suppliers</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Check geodata and evidence</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Assess risk</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Decide on mitigation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Release a delivery</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Submit the statement</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Pass numbers to customs and customers</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Segregate and label goods</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Assess and report new information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Keep the file</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Annual review</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r>
      <w:tr>
        <w:tc>
          <w:tcPr>
            <w:tcW w:type="dxa" w:w="2494"/>
          </w:tcPr>
          <w:p>
            <w:pPr>
              <w:spacing w:after="40" w:line="252" w:lineRule="auto"/>
            </w:pPr>
            <w:r>
              <w:rPr>
                <w:b w:val="0"/>
                <w:i w:val="0"/>
                <w:sz w:val="16"/>
              </w:rPr>
              <w:t>Independent audit (non-SMEs)</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R</w:t>
            </w:r>
          </w:p>
        </w:tc>
      </w:tr>
      <w:tr>
        <w:tc>
          <w:tcPr>
            <w:tcW w:type="dxa" w:w="2494"/>
          </w:tcPr>
          <w:p>
            <w:pPr>
              <w:spacing w:after="40" w:line="252" w:lineRule="auto"/>
            </w:pPr>
            <w:r>
              <w:rPr>
                <w:b w:val="0"/>
                <w:i w:val="0"/>
                <w:sz w:val="16"/>
              </w:rPr>
              <w:t>Publish the report (non-SMEs)</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Training</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bl>
    <w:p>
      <w:pPr>
        <w:spacing w:after="40"/>
      </w:pPr>
    </w:p>
    <w:p>
      <w:r>
        <w:rPr>
          <w:b w:val="0"/>
          <w:i w:val="0"/>
          <w:sz w:val="16"/>
        </w:rPr>
        <w:t>MGT Management; CO Compliance officer (non-SMEs); PUR Purchasing; QS Quality and sustainability; CL Customs and logistics; WH Warehouse; SAL Sales; IT IT; AUD Audit function (non-SMEs).</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Note (delete before approval): </w:t>
            </w:r>
            <w:r>
              <w:rPr>
                <w:b w:val="0"/>
                <w:i/>
                <w:color w:val="404040"/>
                <w:sz w:val="17"/>
              </w:rPr>
              <w:t>Suggestion for a trading company with its own departments; the CO and AUD columns apply to non-SMEs only, in an SME another function takes over their tasks; adapt to your own functions. A accountable, R carries out the work, C contributes, I informed. Every task has exactly one accountable function; the audit function is not involved in the processes it checks. Instead of the audit function, the annual review can be carried out by a person within the company who is independent of the processes (guidelines section 8).</w:t>
            </w:r>
          </w:p>
        </w:tc>
      </w:tr>
    </w:tbl>
    <w:p>
      <w:pPr>
        <w:spacing w:after="40"/>
      </w:pPr>
    </w:p>
    <w:p>
      <w:pPr>
        <w:pStyle w:val="Heading2"/>
      </w:pPr>
      <w:r>
        <w:t>Annex E: Risk mitigation measures catalogue</w:t>
      </w:r>
    </w:p>
    <w:p>
      <w:r>
        <w:rPr>
          <w:b w:val="0"/>
          <w:i w:val="0"/>
          <w:sz w:val="18"/>
        </w:rPr>
        <w:t>Measures per criterion with type under Art. 11(1) (a additional information, b independent surveys or audits, c other measures relating to Art. 9; support for suppliers). A catalogue with 37 entries is in sheet 5 (“Measures catalogue”) of the Excel risk assessment template, a mitigation plan in sheet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624"/>
        <w:gridCol w:w="1701"/>
        <w:gridCol w:w="2381"/>
        <w:gridCol w:w="567"/>
        <w:gridCol w:w="1701"/>
        <w:gridCol w:w="1247"/>
        <w:gridCol w:w="1417"/>
      </w:tblGrid>
      <w:tr>
        <w:trPr>
          <w:tblHeader w:val="true"/>
        </w:trPr>
        <w:tc>
          <w:tcPr>
            <w:tcW w:type="dxa" w:w="624"/>
            <w:shd w:val="clear" w:color="auto" w:fill="D9E2EC"/>
          </w:tcPr>
          <w:p>
            <w:pPr>
              <w:spacing w:after="40" w:line="252" w:lineRule="auto"/>
            </w:pPr>
            <w:r>
              <w:rPr>
                <w:b/>
                <w:i w:val="0"/>
                <w:sz w:val="17"/>
              </w:rPr>
              <w:t>No.</w:t>
            </w:r>
          </w:p>
        </w:tc>
        <w:tc>
          <w:tcPr>
            <w:tcW w:type="dxa" w:w="1701"/>
            <w:shd w:val="clear" w:color="auto" w:fill="D9E2EC"/>
          </w:tcPr>
          <w:p>
            <w:pPr>
              <w:spacing w:after="40" w:line="252" w:lineRule="auto"/>
            </w:pPr>
            <w:r>
              <w:rPr>
                <w:b/>
                <w:i w:val="0"/>
                <w:sz w:val="17"/>
              </w:rPr>
              <w:t>Criterion, trigger</w:t>
            </w:r>
          </w:p>
        </w:tc>
        <w:tc>
          <w:tcPr>
            <w:tcW w:type="dxa" w:w="2381"/>
            <w:shd w:val="clear" w:color="auto" w:fill="D9E2EC"/>
          </w:tcPr>
          <w:p>
            <w:pPr>
              <w:spacing w:after="40" w:line="252" w:lineRule="auto"/>
            </w:pPr>
            <w:r>
              <w:rPr>
                <w:b/>
                <w:i w:val="0"/>
                <w:sz w:val="17"/>
              </w:rPr>
              <w:t>Measure</w:t>
            </w:r>
          </w:p>
        </w:tc>
        <w:tc>
          <w:tcPr>
            <w:tcW w:type="dxa" w:w="567"/>
            <w:shd w:val="clear" w:color="auto" w:fill="D9E2EC"/>
          </w:tcPr>
          <w:p>
            <w:pPr>
              <w:spacing w:after="40" w:line="252" w:lineRule="auto"/>
            </w:pPr>
            <w:r>
              <w:rPr>
                <w:b/>
                <w:i w:val="0"/>
                <w:sz w:val="17"/>
              </w:rPr>
              <w:t>Type</w:t>
            </w:r>
          </w:p>
        </w:tc>
        <w:tc>
          <w:tcPr>
            <w:tcW w:type="dxa" w:w="1701"/>
            <w:shd w:val="clear" w:color="auto" w:fill="D9E2EC"/>
          </w:tcPr>
          <w:p>
            <w:pPr>
              <w:spacing w:after="40" w:line="252" w:lineRule="auto"/>
            </w:pPr>
            <w:r>
              <w:rPr>
                <w:b/>
                <w:i w:val="0"/>
                <w:sz w:val="17"/>
              </w:rPr>
              <w:t>Evidence</w:t>
            </w:r>
          </w:p>
        </w:tc>
        <w:tc>
          <w:tcPr>
            <w:tcW w:type="dxa" w:w="1247"/>
            <w:shd w:val="clear" w:color="auto" w:fill="D9E2EC"/>
          </w:tcPr>
          <w:p>
            <w:pPr>
              <w:spacing w:after="40" w:line="252" w:lineRule="auto"/>
            </w:pPr>
            <w:r>
              <w:rPr>
                <w:b/>
                <w:i w:val="0"/>
                <w:sz w:val="17"/>
              </w:rPr>
              <w:t>responsible</w:t>
            </w:r>
          </w:p>
        </w:tc>
        <w:tc>
          <w:tcPr>
            <w:tcW w:type="dxa" w:w="1417"/>
            <w:shd w:val="clear" w:color="auto" w:fill="D9E2EC"/>
          </w:tcPr>
          <w:p>
            <w:pPr>
              <w:spacing w:after="40" w:line="252" w:lineRule="auto"/>
            </w:pPr>
            <w:r>
              <w:rPr>
                <w:b/>
                <w:i w:val="0"/>
                <w:sz w:val="17"/>
              </w:rPr>
              <w:t>Result afterwards</w:t>
            </w: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bl>
    <w:p>
      <w:pPr>
        <w:spacing w:after="40"/>
      </w:pPr>
    </w:p>
    <w:p>
      <w:pPr>
        <w:pStyle w:val="Heading2"/>
      </w:pPr>
      <w:r>
        <w:t>Annex F: Record of the annual review</w:t>
      </w:r>
    </w:p>
    <w:p>
      <w:r>
        <w:rPr>
          <w:b w:val="0"/>
          <w:i w:val="0"/>
          <w:sz w:val="18"/>
        </w:rPr>
        <w:t xml:space="preserve">Date: </w:t>
      </w:r>
      <w:r>
        <w:rPr>
          <w:b w:val="0"/>
          <w:i w:val="0"/>
          <w:sz w:val="18"/>
          <w:shd w:val="clear" w:color="auto" w:fill="E3E3E3"/>
        </w:rPr>
        <w:t>[ ]</w:t>
      </w:r>
      <w:r>
        <w:rPr>
          <w:b w:val="0"/>
          <w:i w:val="0"/>
          <w:sz w:val="18"/>
        </w:rPr>
        <w:t xml:space="preserve">   Reviewer: </w:t>
      </w:r>
      <w:r>
        <w:rPr>
          <w:b w:val="0"/>
          <w:i w:val="0"/>
          <w:sz w:val="18"/>
          <w:shd w:val="clear" w:color="auto" w:fill="E3E3E3"/>
        </w:rPr>
        <w:t>[name, function]</w:t>
      </w:r>
      <w:r>
        <w:rPr>
          <w:b w:val="0"/>
          <w:i w:val="0"/>
          <w:sz w:val="18"/>
        </w:rPr>
        <w:t xml:space="preserve">   Independence explained: </w:t>
      </w:r>
      <w:r>
        <w:rPr>
          <w:b w:val="0"/>
          <w:i w:val="0"/>
          <w:sz w:val="18"/>
          <w:shd w:val="clear" w:color="auto" w:fill="E3E3E3"/>
        </w:rPr>
        <w:t>[ ]</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2268"/>
        <w:gridCol w:w="1701"/>
        <w:gridCol w:w="1020"/>
        <w:gridCol w:w="1020"/>
      </w:tblGrid>
      <w:tr>
        <w:trPr>
          <w:tblHeader w:val="true"/>
        </w:trPr>
        <w:tc>
          <w:tcPr>
            <w:tcW w:type="dxa" w:w="3628"/>
            <w:shd w:val="clear" w:color="auto" w:fill="D9E2EC"/>
          </w:tcPr>
          <w:p>
            <w:pPr>
              <w:spacing w:after="40" w:line="252" w:lineRule="auto"/>
            </w:pPr>
            <w:r>
              <w:rPr>
                <w:b/>
                <w:i w:val="0"/>
                <w:sz w:val="17"/>
              </w:rPr>
              <w:t>Review point</w:t>
            </w:r>
          </w:p>
        </w:tc>
        <w:tc>
          <w:tcPr>
            <w:tcW w:type="dxa" w:w="2268"/>
            <w:shd w:val="clear" w:color="auto" w:fill="D9E2EC"/>
          </w:tcPr>
          <w:p>
            <w:pPr>
              <w:spacing w:after="40" w:line="252" w:lineRule="auto"/>
            </w:pPr>
            <w:r>
              <w:rPr>
                <w:b/>
                <w:i w:val="0"/>
                <w:sz w:val="17"/>
              </w:rPr>
              <w:t>Result</w:t>
            </w:r>
          </w:p>
        </w:tc>
        <w:tc>
          <w:tcPr>
            <w:tcW w:type="dxa" w:w="1701"/>
            <w:shd w:val="clear" w:color="auto" w:fill="D9E2EC"/>
          </w:tcPr>
          <w:p>
            <w:pPr>
              <w:spacing w:after="40" w:line="252" w:lineRule="auto"/>
            </w:pPr>
            <w:r>
              <w:rPr>
                <w:b/>
                <w:i w:val="0"/>
                <w:sz w:val="17"/>
              </w:rPr>
              <w:t>Weakness</w:t>
            </w:r>
          </w:p>
        </w:tc>
        <w:tc>
          <w:tcPr>
            <w:tcW w:type="dxa" w:w="1020"/>
            <w:shd w:val="clear" w:color="auto" w:fill="D9E2EC"/>
          </w:tcPr>
          <w:p>
            <w:pPr>
              <w:spacing w:after="40" w:line="252" w:lineRule="auto"/>
            </w:pPr>
            <w:r>
              <w:rPr>
                <w:b/>
                <w:i w:val="0"/>
                <w:sz w:val="17"/>
              </w:rPr>
              <w:t>Deadline</w:t>
            </w:r>
          </w:p>
        </w:tc>
        <w:tc>
          <w:tcPr>
            <w:tcW w:type="dxa" w:w="1020"/>
            <w:shd w:val="clear" w:color="auto" w:fill="D9E2EC"/>
          </w:tcPr>
          <w:p>
            <w:pPr>
              <w:spacing w:after="40" w:line="252" w:lineRule="auto"/>
            </w:pPr>
            <w:r>
              <w:rPr>
                <w:b/>
                <w:i w:val="0"/>
                <w:sz w:val="17"/>
              </w:rPr>
              <w:t>done</w:t>
            </w:r>
          </w:p>
        </w:tc>
      </w:tr>
      <w:tr>
        <w:tc>
          <w:tcPr>
            <w:tcW w:type="dxa" w:w="3628"/>
          </w:tcPr>
          <w:p>
            <w:pPr>
              <w:spacing w:after="40" w:line="252" w:lineRule="auto"/>
            </w:pPr>
            <w:r>
              <w:rPr>
                <w:b w:val="0"/>
                <w:i w:val="0"/>
                <w:sz w:val="17"/>
              </w:rPr>
              <w:t>Documented procedures for collecting and recording the information under Art. 9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Risk assessment documented per product and component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Measures defined per risk level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People responsible understand their steps and carry them out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Controls ensure that products with a non-negligible risk are excluded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Change log complete, triggers since the last review dealt with (Art. 12(2))</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Sample checks and findings of the audit function evaluated (block 10)</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Training carried out and recorded (Annex H)</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Steps and outcome of this review documented (guidelines section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bl>
    <w:p>
      <w:pPr>
        <w:spacing w:after="40"/>
      </w:pPr>
    </w:p>
    <w:p>
      <w:pPr>
        <w:pStyle w:val="Heading2"/>
      </w:pPr>
      <w:r>
        <w:t>Annex G: Outline of the public report (non-SMEs only)</w:t>
      </w:r>
    </w:p>
    <w:p>
      <w:r>
        <w:rPr>
          <w:b w:val="0"/>
          <w:i w:val="0"/>
          <w:sz w:val="18"/>
        </w:rPr>
        <w:t>First report for the year 2027, published after 30 December 2027 (Commission FAQ 5.14). Data protection takes precedence; supplier names are not required content.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67"/>
        <w:gridCol w:w="4535"/>
        <w:gridCol w:w="4535"/>
      </w:tblGrid>
      <w:tr>
        <w:trPr>
          <w:tblHeader w:val="true"/>
        </w:trPr>
        <w:tc>
          <w:tcPr>
            <w:tcW w:type="dxa" w:w="567"/>
            <w:shd w:val="clear" w:color="auto" w:fill="D9E2EC"/>
          </w:tcPr>
          <w:p>
            <w:pPr>
              <w:spacing w:after="40" w:line="252" w:lineRule="auto"/>
            </w:pPr>
            <w:r>
              <w:rPr>
                <w:b/>
                <w:i w:val="0"/>
                <w:sz w:val="17"/>
              </w:rPr>
              <w:t>No.</w:t>
            </w:r>
          </w:p>
        </w:tc>
        <w:tc>
          <w:tcPr>
            <w:tcW w:type="dxa" w:w="4535"/>
            <w:shd w:val="clear" w:color="auto" w:fill="D9E2EC"/>
          </w:tcPr>
          <w:p>
            <w:pPr>
              <w:spacing w:after="40" w:line="252" w:lineRule="auto"/>
            </w:pPr>
            <w:r>
              <w:rPr>
                <w:b/>
                <w:i w:val="0"/>
                <w:sz w:val="17"/>
              </w:rPr>
              <w:t>Section of the report</w:t>
            </w:r>
          </w:p>
        </w:tc>
        <w:tc>
          <w:tcPr>
            <w:tcW w:type="dxa" w:w="4535"/>
            <w:shd w:val="clear" w:color="auto" w:fill="D9E2EC"/>
          </w:tcPr>
          <w:p>
            <w:pPr>
              <w:spacing w:after="40" w:line="252" w:lineRule="auto"/>
            </w:pPr>
            <w:r>
              <w:rPr>
                <w:b/>
                <w:i w:val="0"/>
                <w:sz w:val="17"/>
              </w:rPr>
              <w:t>Content in the reporting year</w:t>
            </w:r>
          </w:p>
        </w:tc>
      </w:tr>
      <w:tr>
        <w:tc>
          <w:tcPr>
            <w:tcW w:type="dxa" w:w="567"/>
          </w:tcPr>
          <w:p>
            <w:pPr>
              <w:spacing w:after="40" w:line="252" w:lineRule="auto"/>
            </w:pPr>
            <w:r>
              <w:rPr>
                <w:b w:val="0"/>
                <w:i w:val="0"/>
                <w:sz w:val="17"/>
              </w:rPr>
              <w:t>1</w:t>
            </w:r>
          </w:p>
        </w:tc>
        <w:tc>
          <w:tcPr>
            <w:tcW w:type="dxa" w:w="4535"/>
          </w:tcPr>
          <w:p>
            <w:pPr>
              <w:spacing w:after="40" w:line="252" w:lineRule="auto"/>
            </w:pPr>
            <w:r>
              <w:rPr>
                <w:b w:val="0"/>
                <w:i w:val="0"/>
                <w:sz w:val="17"/>
              </w:rPr>
              <w:t>Company and reporting year</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2</w:t>
            </w:r>
          </w:p>
        </w:tc>
        <w:tc>
          <w:tcPr>
            <w:tcW w:type="dxa" w:w="4535"/>
          </w:tcPr>
          <w:p>
            <w:pPr>
              <w:spacing w:after="40" w:line="252" w:lineRule="auto"/>
            </w:pPr>
            <w:r>
              <w:rPr>
                <w:b w:val="0"/>
                <w:i w:val="0"/>
                <w:sz w:val="17"/>
              </w:rPr>
              <w:t>Due diligence system and changes during the reporting year (Art. 12(3))</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3</w:t>
            </w:r>
          </w:p>
        </w:tc>
        <w:tc>
          <w:tcPr>
            <w:tcW w:type="dxa" w:w="4535"/>
          </w:tcPr>
          <w:p>
            <w:pPr>
              <w:spacing w:after="40" w:line="252" w:lineRule="auto"/>
            </w:pPr>
            <w:r>
              <w:rPr>
                <w:b w:val="0"/>
                <w:i w:val="0"/>
                <w:sz w:val="17"/>
              </w:rPr>
              <w:t>Products, quantities and countries of production, summarised (Art. 12(4)(a) with Art. 9(1)(a) to (c))</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4</w:t>
            </w:r>
          </w:p>
        </w:tc>
        <w:tc>
          <w:tcPr>
            <w:tcW w:type="dxa" w:w="4535"/>
          </w:tcPr>
          <w:p>
            <w:pPr>
              <w:spacing w:after="40" w:line="252" w:lineRule="auto"/>
            </w:pPr>
            <w:r>
              <w:rPr>
                <w:b w:val="0"/>
                <w:i w:val="0"/>
                <w:sz w:val="17"/>
              </w:rPr>
              <w:t>Conclusions of the risk assessment and measures taken under Art. 11 (Art. 12(4)(b))</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5</w:t>
            </w:r>
          </w:p>
        </w:tc>
        <w:tc>
          <w:tcPr>
            <w:tcW w:type="dxa" w:w="4535"/>
          </w:tcPr>
          <w:p>
            <w:pPr>
              <w:spacing w:after="40" w:line="252" w:lineRule="auto"/>
            </w:pPr>
            <w:r>
              <w:rPr>
                <w:b w:val="0"/>
                <w:i w:val="0"/>
                <w:sz w:val="17"/>
              </w:rPr>
              <w:t>Information and evidence obtained and used for the risk assessment (Art. 12(4)(b))</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6</w:t>
            </w:r>
          </w:p>
        </w:tc>
        <w:tc>
          <w:tcPr>
            <w:tcW w:type="dxa" w:w="4535"/>
          </w:tcPr>
          <w:p>
            <w:pPr>
              <w:spacing w:after="40" w:line="252" w:lineRule="auto"/>
            </w:pPr>
            <w:r>
              <w:rPr>
                <w:b w:val="0"/>
                <w:i w:val="0"/>
                <w:sz w:val="17"/>
              </w:rPr>
              <w:t>Consultation of indigenous peoples, local communities, other customary tenure rights holders or civil society, where applicable (Art. 12(4)(c))</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7</w:t>
            </w:r>
          </w:p>
        </w:tc>
        <w:tc>
          <w:tcPr>
            <w:tcW w:type="dxa" w:w="4535"/>
          </w:tcPr>
          <w:p>
            <w:pPr>
              <w:spacing w:after="40" w:line="252" w:lineRule="auto"/>
            </w:pPr>
            <w:r>
              <w:rPr>
                <w:b w:val="0"/>
                <w:i w:val="0"/>
                <w:sz w:val="17"/>
              </w:rPr>
              <w:t>Contact for questions</w:t>
            </w:r>
          </w:p>
        </w:tc>
        <w:tc>
          <w:tcPr>
            <w:tcW w:type="dxa" w:w="4535"/>
          </w:tcPr>
          <w:p>
            <w:pPr>
              <w:spacing w:after="40" w:line="252" w:lineRule="auto"/>
            </w:pPr>
            <w:r>
              <w:rPr>
                <w:b w:val="0"/>
                <w:i w:val="0"/>
                <w:sz w:val="17"/>
                <w:shd w:val="clear" w:color="auto" w:fill="E3E3E3"/>
              </w:rPr>
              <w:t>[ ]</w:t>
            </w:r>
          </w:p>
        </w:tc>
      </w:tr>
    </w:tbl>
    <w:p>
      <w:pPr>
        <w:spacing w:after="40"/>
      </w:pPr>
    </w:p>
    <w:p>
      <w:pPr>
        <w:pStyle w:val="Heading2"/>
      </w:pPr>
      <w:r>
        <w:t>Annex H: Training record</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247"/>
        <w:gridCol w:w="1587"/>
        <w:gridCol w:w="2608"/>
        <w:gridCol w:w="907"/>
        <w:gridCol w:w="1814"/>
        <w:gridCol w:w="1474"/>
      </w:tblGrid>
      <w:tr>
        <w:trPr>
          <w:tblHeader w:val="true"/>
        </w:trPr>
        <w:tc>
          <w:tcPr>
            <w:tcW w:type="dxa" w:w="1247"/>
            <w:shd w:val="clear" w:color="auto" w:fill="D9E2EC"/>
          </w:tcPr>
          <w:p>
            <w:pPr>
              <w:spacing w:after="40" w:line="252" w:lineRule="auto"/>
            </w:pPr>
            <w:r>
              <w:rPr>
                <w:b/>
                <w:i w:val="0"/>
                <w:sz w:val="17"/>
              </w:rPr>
              <w:t>Date</w:t>
            </w:r>
          </w:p>
        </w:tc>
        <w:tc>
          <w:tcPr>
            <w:tcW w:type="dxa" w:w="1587"/>
            <w:shd w:val="clear" w:color="auto" w:fill="D9E2EC"/>
          </w:tcPr>
          <w:p>
            <w:pPr>
              <w:spacing w:after="40" w:line="252" w:lineRule="auto"/>
            </w:pPr>
            <w:r>
              <w:rPr>
                <w:b/>
                <w:i w:val="0"/>
                <w:sz w:val="17"/>
              </w:rPr>
              <w:t>Target group</w:t>
            </w:r>
          </w:p>
        </w:tc>
        <w:tc>
          <w:tcPr>
            <w:tcW w:type="dxa" w:w="2608"/>
            <w:shd w:val="clear" w:color="auto" w:fill="D9E2EC"/>
          </w:tcPr>
          <w:p>
            <w:pPr>
              <w:spacing w:after="40" w:line="252" w:lineRule="auto"/>
            </w:pPr>
            <w:r>
              <w:rPr>
                <w:b/>
                <w:i w:val="0"/>
                <w:sz w:val="17"/>
              </w:rPr>
              <w:t>Content</w:t>
            </w:r>
          </w:p>
        </w:tc>
        <w:tc>
          <w:tcPr>
            <w:tcW w:type="dxa" w:w="907"/>
            <w:shd w:val="clear" w:color="auto" w:fill="D9E2EC"/>
          </w:tcPr>
          <w:p>
            <w:pPr>
              <w:spacing w:after="40" w:line="252" w:lineRule="auto"/>
            </w:pPr>
            <w:r>
              <w:rPr>
                <w:b/>
                <w:i w:val="0"/>
                <w:sz w:val="17"/>
              </w:rPr>
              <w:t>Duration</w:t>
            </w:r>
          </w:p>
        </w:tc>
        <w:tc>
          <w:tcPr>
            <w:tcW w:type="dxa" w:w="1814"/>
            <w:shd w:val="clear" w:color="auto" w:fill="D9E2EC"/>
          </w:tcPr>
          <w:p>
            <w:pPr>
              <w:spacing w:after="40" w:line="252" w:lineRule="auto"/>
            </w:pPr>
            <w:r>
              <w:rPr>
                <w:b/>
                <w:i w:val="0"/>
                <w:sz w:val="17"/>
              </w:rPr>
              <w:t>Participants</w:t>
            </w:r>
          </w:p>
        </w:tc>
        <w:tc>
          <w:tcPr>
            <w:tcW w:type="dxa" w:w="1474"/>
            <w:shd w:val="clear" w:color="auto" w:fill="D9E2EC"/>
          </w:tcPr>
          <w:p>
            <w:pPr>
              <w:spacing w:after="40" w:line="252" w:lineRule="auto"/>
            </w:pPr>
            <w:r>
              <w:rPr>
                <w:b/>
                <w:i w:val="0"/>
                <w:sz w:val="17"/>
              </w:rPr>
              <w:t>Delivered by</w:t>
            </w: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bl>
    <w:p>
      <w:pPr>
        <w:spacing w:after="40"/>
      </w:pPr>
    </w:p>
    <w:p>
      <w:pPr>
        <w:pStyle w:val="Heading2"/>
      </w:pPr>
      <w:r>
        <w:t>Annex I: Completion check before approval</w:t>
      </w:r>
    </w:p>
    <w:p>
      <w:r>
        <w:rPr>
          <w:b w:val="0"/>
          <w:i w:val="0"/>
          <w:sz w:val="18"/>
        </w:rPr>
        <w:t>Tick before approval.</w:t>
      </w:r>
    </w:p>
    <w:p>
      <w:pPr>
        <w:spacing w:after="40"/>
      </w:pPr>
      <w:r>
        <w:rPr>
          <w:b w:val="0"/>
          <w:i w:val="0"/>
          <w:sz w:val="17"/>
        </w:rPr>
        <w:t>☐ Building block 1: Legal entity, Sites and warehouses, Activities, Products, Exclusions, Company size, Previous year, Date of application</w:t>
      </w:r>
    </w:p>
    <w:p>
      <w:pPr>
        <w:spacing w:after="40"/>
      </w:pPr>
      <w:r>
        <w:rPr>
          <w:b w:val="0"/>
          <w:i w:val="0"/>
          <w:sz w:val="17"/>
        </w:rPr>
        <w:t>☐ Building block 2: Sourcing routes, New sourcing routes, Review of roles</w:t>
      </w:r>
    </w:p>
    <w:p>
      <w:pPr>
        <w:spacing w:after="40"/>
      </w:pPr>
      <w:r>
        <w:rPr>
          <w:b w:val="0"/>
          <w:i w:val="0"/>
          <w:sz w:val="17"/>
        </w:rPr>
        <w:t>☐ Building block 3: Management, Compliance officer, Process owners, Responsibility matrix, Information system, Authorised representative under Art. 6, Service providers and tools, Training</w:t>
      </w:r>
    </w:p>
    <w:p>
      <w:pPr>
        <w:spacing w:after="40"/>
      </w:pPr>
      <w:r>
        <w:rPr>
          <w:b w:val="0"/>
          <w:i w:val="0"/>
          <w:sz w:val="17"/>
        </w:rPr>
        <w:t>☐ Building block 4: Checklist under Art. 9(1), Supplier request, Geolocation, Tree species, Legality, Completeness, Handling gaps</w:t>
      </w:r>
    </w:p>
    <w:p>
      <w:pPr>
        <w:spacing w:after="40"/>
      </w:pPr>
      <w:r>
        <w:rPr>
          <w:b w:val="0"/>
          <w:i w:val="0"/>
          <w:sz w:val="17"/>
        </w:rPr>
        <w:t>☐ Building block 5: Unit of assessment, Criteria, Rating, Overall rule, Country risk, Tools, Article 13 route, Review</w:t>
      </w:r>
    </w:p>
    <w:p>
      <w:pPr>
        <w:spacing w:after="40"/>
      </w:pPr>
      <w:r>
        <w:rPr>
          <w:b w:val="0"/>
          <w:i w:val="0"/>
          <w:sz w:val="17"/>
        </w:rPr>
        <w:t>☐ Building block 6: Measures catalogue, Decision, Reassessment, Termination and block, Mixing at processing sites, Documentation, Review</w:t>
      </w:r>
    </w:p>
    <w:p>
      <w:pPr>
        <w:spacing w:after="40"/>
      </w:pPr>
      <w:r>
        <w:rPr>
          <w:b w:val="0"/>
          <w:i w:val="0"/>
          <w:sz w:val="17"/>
        </w:rPr>
        <w:t>☐ Building block 7: Release point, Release criteria, Released by, Technical block, Labelling, Warehouse, Quantity reconciliation</w:t>
      </w:r>
    </w:p>
    <w:p>
      <w:pPr>
        <w:spacing w:after="40"/>
      </w:pPr>
      <w:r>
        <w:rPr>
          <w:b w:val="0"/>
          <w:i w:val="0"/>
          <w:sz w:val="17"/>
        </w:rPr>
        <w:t>☐ Building block 8: Preparation and submission, Type of statement, Coverage, Quantity reconciliation, Check before submission, Amendment and withdrawal, Passing on, Emergency procedure, Filing</w:t>
      </w:r>
    </w:p>
    <w:p>
      <w:pPr>
        <w:spacing w:after="40"/>
      </w:pPr>
      <w:r>
        <w:rPr>
          <w:b w:val="0"/>
          <w:i w:val="0"/>
          <w:sz w:val="17"/>
        </w:rPr>
        <w:t>☐ Building block 9: Input channels, Recording and responsibility, Deadline for the first assessment, Immediate measure, Notification, Under simplified due diligence, Feedback</w:t>
      </w:r>
    </w:p>
    <w:p>
      <w:pPr>
        <w:spacing w:after="40"/>
      </w:pPr>
      <w:r>
        <w:rPr>
          <w:b w:val="0"/>
          <w:i w:val="0"/>
          <w:sz w:val="17"/>
        </w:rPr>
        <w:t>☐ Building block 10: Internal controls, Report to management, Audit function, Audit mandate, Follow-up of actions, Sharing results with customers</w:t>
      </w:r>
    </w:p>
    <w:p>
      <w:pPr>
        <w:spacing w:after="40"/>
      </w:pPr>
      <w:r>
        <w:rPr>
          <w:b w:val="0"/>
          <w:i w:val="0"/>
          <w:sz w:val="17"/>
        </w:rPr>
        <w:t>☐ Building block 11: File per reference number, Retention periods and start, Storage, access, backup, Deletion, Contact person for the authority, Day of a check</w:t>
      </w:r>
    </w:p>
    <w:p>
      <w:pPr>
        <w:spacing w:after="40"/>
      </w:pPr>
      <w:r>
        <w:rPr>
          <w:b w:val="0"/>
          <w:i w:val="0"/>
          <w:sz w:val="17"/>
        </w:rPr>
        <w:t>☐ Building block 12: Annual review, Triggers for an immediate update, Change log, Public report</w:t>
      </w:r>
    </w:p>
    <w:p>
      <w:pPr>
        <w:spacing w:after="40"/>
      </w:pPr>
      <w:r>
        <w:rPr>
          <w:b w:val="0"/>
          <w:i w:val="0"/>
          <w:sz w:val="17"/>
        </w:rPr>
        <w:t>☐ Cover page complete</w:t>
      </w:r>
    </w:p>
    <w:p>
      <w:pPr>
        <w:spacing w:after="40"/>
      </w:pPr>
      <w:r>
        <w:rPr>
          <w:b w:val="0"/>
          <w:i w:val="0"/>
          <w:sz w:val="17"/>
        </w:rPr>
        <w:t>☐ Change log with first version</w:t>
      </w:r>
    </w:p>
    <w:p>
      <w:pPr>
        <w:spacing w:after="40"/>
      </w:pPr>
      <w:r>
        <w:rPr>
          <w:b w:val="0"/>
          <w:i w:val="0"/>
          <w:sz w:val="17"/>
        </w:rPr>
        <w:t>☐ Annexes B to E and H filled in</w:t>
      </w:r>
    </w:p>
    <w:p>
      <w:pPr>
        <w:spacing w:after="40"/>
      </w:pPr>
      <w:r>
        <w:rPr>
          <w:b w:val="0"/>
          <w:i w:val="0"/>
          <w:sz w:val="17"/>
        </w:rPr>
        <w:t>☐ Grey notes deleted</w:t>
      </w:r>
    </w:p>
    <w:p>
      <w:pPr>
        <w:spacing w:after="40"/>
      </w:pPr>
      <w:r>
        <w:rPr>
          <w:b w:val="0"/>
          <w:i w:val="0"/>
          <w:sz w:val="17"/>
        </w:rPr>
        <w:t>☐ Approval by management with date</w:t>
      </w:r>
    </w:p>
    <w:sectPr w:rsidR="00FC693F" w:rsidRPr="0006063C" w:rsidSect="00034616">
      <w:headerReference w:type="default" r:id="rId9"/>
      <w:footerReference w:type="default" r:id="rId10"/>
      <w:pgSz w:w="11906" w:h="16838"/>
      <w:pgMar w:top="1134"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95959"/>
        <w:sz w:val="15"/>
      </w:rPr>
      <w:t xml:space="preserve">Template: HRG Polygon One GmbH, polygon-one.com/en/eudr-due-diligence-system-template, as of 30 October 2026. Not an official form, not legal advice; may be used and adapted freely within your own company. </w:t>
    </w:r>
    <w:r>
      <w:rPr>
        <w:color w:val="595959"/>
        <w:sz w:val="15"/>
      </w:rPr>
      <w:t xml:space="preserve">Page </w:t>
    </w:r>
    <w:r>
      <w:rPr>
        <w:sz w:val="15"/>
      </w:rPr>
      <w:fldChar w:fldCharType="begin"/>
    </w:r>
    <w:r>
      <w:rPr>
        <w:sz w:val="15"/>
      </w:rPr>
      <w:instrText xml:space="preserve">PAGE</w:instrText>
    </w:r>
    <w:r>
      <w:rPr>
        <w:sz w:val="15"/>
      </w:rPr>
      <w:fldChar w:fldCharType="separate"/>
    </w:r>
    <w:r>
      <w:rPr>
        <w:sz w:val="15"/>
      </w:rPr>
      <w:t>1</w:t>
    </w:r>
    <w:r>
      <w:rPr>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95959"/>
        <w:sz w:val="16"/>
      </w:rPr>
      <w:t xml:space="preserve">Due diligence system under Art. 12 EUDR · </w:t>
    </w:r>
    <w:r>
      <w:rPr>
        <w:b w:val="0"/>
        <w:i w:val="0"/>
        <w:color w:val="595959"/>
        <w:sz w:val="16"/>
        <w:shd w:val="clear" w:color="auto" w:fill="E3E3E3"/>
      </w:rPr>
      <w:t>[Company]</w:t>
    </w:r>
    <w:r>
      <w:rPr>
        <w:b w:val="0"/>
        <w:i w:val="0"/>
        <w:color w:val="595959"/>
        <w:sz w:val="16"/>
      </w:rPr>
      <w:t xml:space="preserve"> · Version </w:t>
    </w:r>
    <w:r>
      <w:rPr>
        <w:b w:val="0"/>
        <w:i w:val="0"/>
        <w:color w:val="595959"/>
        <w:sz w:val="16"/>
        <w:shd w:val="clear" w:color="auto" w:fill="E3E3E3"/>
      </w:rPr>
      <w:t>[x.y]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C183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6AA6"/>
      <w:sz w:val="24"/>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Arial" w:hAnsi="Arial"/>
      <w:b/>
      <w:bCs/>
      <w:color w:val="0C183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Arial" w:hAnsi="Arial"/>
      <w:b/>
      <w:color w:val="0C183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Due diligence system under Article 12 of Regulation (EU) 2023/1115 (EUDR)</dc:title>
  <dc:subject>Template</dc:subject>
  <dc:creator>HRG Polygon One GmbH</dc:creator>
  <cp:keywords>EUDR, Article 12, due diligence system</cp:keywords>
  <dc:description/>
  <cp:lastModifiedBy>HRG Polygon One GmbH</cp:lastModifiedBy>
  <cp:revision>1</cp:revision>
  <dcterms:created xsi:type="dcterms:W3CDTF">2026-10-30T12:00:00Z</dcterms:created>
  <dcterms:modified xsi:type="dcterms:W3CDTF">2026-10-30T12:00:00Z</dcterms:modified>
  <cp:category/>
  <dc:language>en-GB</dc:language>
</cp:coreProperties>
</file>